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07F0C" w14:textId="76ED6FF7" w:rsidR="008E23EB" w:rsidRDefault="008E23EB" w:rsidP="00C4003A">
      <w:pPr>
        <w:pStyle w:val="NoSpacing"/>
        <w:shd w:val="clear" w:color="auto" w:fill="548DD4"/>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ПОЛИТИКА ЗА ОЦЕНКА, ОРГАНИЗАЦИЯ И УПРАВЛЕНИЕ НА РИСКА</w:t>
      </w:r>
    </w:p>
    <w:p w14:paraId="648BE7D0" w14:textId="77777777" w:rsidR="008E23EB" w:rsidRDefault="008E23EB" w:rsidP="00C4003A">
      <w:pPr>
        <w:pStyle w:val="NoSpacing"/>
        <w:shd w:val="clear" w:color="auto" w:fill="548DD4"/>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p>
    <w:p w14:paraId="444E1A6C" w14:textId="6648F785" w:rsidR="008E23EB" w:rsidRPr="00C4003A" w:rsidRDefault="00C4003A" w:rsidP="00C4003A">
      <w:pPr>
        <w:pStyle w:val="NoSpacing"/>
        <w:shd w:val="clear" w:color="auto" w:fill="548DD4"/>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ОБЩИ ПОЛОЖЕНИЯ</w:t>
      </w:r>
    </w:p>
    <w:p w14:paraId="018E9B87" w14:textId="77777777" w:rsidR="00C4003A" w:rsidRDefault="00C4003A" w:rsidP="00217195">
      <w:pPr>
        <w:autoSpaceDE w:val="0"/>
        <w:autoSpaceDN w:val="0"/>
        <w:adjustRightInd w:val="0"/>
        <w:ind w:left="426" w:hanging="426"/>
        <w:jc w:val="both"/>
      </w:pPr>
    </w:p>
    <w:p w14:paraId="01BA152D" w14:textId="77777777" w:rsidR="00C4003A" w:rsidRDefault="00C4003A" w:rsidP="00C4003A">
      <w:pPr>
        <w:pStyle w:val="BodyText"/>
      </w:pPr>
      <w:r>
        <w:t>Чл. 1. Настоящата политика има за цел да регламентира:</w:t>
      </w:r>
    </w:p>
    <w:p w14:paraId="5ACB0675" w14:textId="77777777" w:rsidR="00C4003A" w:rsidRDefault="00C4003A" w:rsidP="00AD61AD">
      <w:pPr>
        <w:pStyle w:val="ListParagraph"/>
        <w:widowControl w:val="0"/>
        <w:numPr>
          <w:ilvl w:val="0"/>
          <w:numId w:val="29"/>
        </w:numPr>
        <w:tabs>
          <w:tab w:val="left" w:pos="1422"/>
        </w:tabs>
        <w:autoSpaceDE w:val="0"/>
        <w:autoSpaceDN w:val="0"/>
        <w:spacing w:before="2" w:line="237" w:lineRule="auto"/>
        <w:ind w:right="912" w:firstLine="0"/>
        <w:contextualSpacing w:val="0"/>
      </w:pPr>
      <w:r>
        <w:t>Организационната структура и нивата на отговорност по управлението на риска в „БАЛКАНСКА КОНСУЛТАНТСКА КОМПАНИЯ“ ИП ЕАД, наричано по-долу за краткост „инвестиционен</w:t>
      </w:r>
      <w:r>
        <w:rPr>
          <w:spacing w:val="-10"/>
        </w:rPr>
        <w:t xml:space="preserve"> </w:t>
      </w:r>
      <w:r>
        <w:t>посредник“ и/или „ИП“;</w:t>
      </w:r>
    </w:p>
    <w:p w14:paraId="39C3AFAA" w14:textId="77777777" w:rsidR="00C4003A" w:rsidRDefault="00C4003A" w:rsidP="00C4003A">
      <w:pPr>
        <w:pStyle w:val="ListParagraph"/>
        <w:widowControl w:val="0"/>
        <w:numPr>
          <w:ilvl w:val="0"/>
          <w:numId w:val="29"/>
        </w:numPr>
        <w:tabs>
          <w:tab w:val="left" w:pos="1423"/>
        </w:tabs>
        <w:autoSpaceDE w:val="0"/>
        <w:autoSpaceDN w:val="0"/>
        <w:spacing w:before="1"/>
        <w:ind w:right="913"/>
        <w:contextualSpacing w:val="0"/>
        <w:jc w:val="both"/>
      </w:pPr>
      <w:r>
        <w:t>Правилата, процедурите и механизмите за оценка, установяване, управление, наблюдение и редуциране на следните рискове, на които е изложен или може да бъде изложен инвестиционният посредник:</w:t>
      </w:r>
    </w:p>
    <w:p w14:paraId="7A41687C" w14:textId="69DC3899" w:rsidR="00C4003A" w:rsidRDefault="00C4003A" w:rsidP="00C4003A">
      <w:pPr>
        <w:pStyle w:val="ListParagraph"/>
        <w:widowControl w:val="0"/>
        <w:numPr>
          <w:ilvl w:val="1"/>
          <w:numId w:val="29"/>
        </w:numPr>
        <w:tabs>
          <w:tab w:val="left" w:pos="1564"/>
        </w:tabs>
        <w:autoSpaceDE w:val="0"/>
        <w:autoSpaceDN w:val="0"/>
        <w:spacing w:before="1"/>
        <w:contextualSpacing w:val="0"/>
      </w:pPr>
      <w:r>
        <w:t>Систематични рискове</w:t>
      </w:r>
    </w:p>
    <w:p w14:paraId="2336F296" w14:textId="271C0D92" w:rsidR="00C4003A" w:rsidRDefault="00C4003A" w:rsidP="00C4003A">
      <w:pPr>
        <w:pStyle w:val="ListParagraph"/>
        <w:widowControl w:val="0"/>
        <w:numPr>
          <w:ilvl w:val="1"/>
          <w:numId w:val="29"/>
        </w:numPr>
        <w:tabs>
          <w:tab w:val="left" w:pos="1564"/>
        </w:tabs>
        <w:autoSpaceDE w:val="0"/>
        <w:autoSpaceDN w:val="0"/>
        <w:spacing w:before="1"/>
        <w:contextualSpacing w:val="0"/>
      </w:pPr>
      <w:r>
        <w:t>Кредитен риск и риск от</w:t>
      </w:r>
      <w:r>
        <w:rPr>
          <w:spacing w:val="-3"/>
        </w:rPr>
        <w:t xml:space="preserve"> </w:t>
      </w:r>
      <w:r>
        <w:t>контрагента;</w:t>
      </w:r>
    </w:p>
    <w:p w14:paraId="0E053891" w14:textId="77777777" w:rsidR="00C4003A" w:rsidRDefault="00C4003A" w:rsidP="00C4003A">
      <w:pPr>
        <w:pStyle w:val="ListParagraph"/>
        <w:widowControl w:val="0"/>
        <w:numPr>
          <w:ilvl w:val="1"/>
          <w:numId w:val="29"/>
        </w:numPr>
        <w:tabs>
          <w:tab w:val="left" w:pos="1564"/>
        </w:tabs>
        <w:autoSpaceDE w:val="0"/>
        <w:autoSpaceDN w:val="0"/>
        <w:contextualSpacing w:val="0"/>
      </w:pPr>
      <w:r>
        <w:t>Остатъчен</w:t>
      </w:r>
      <w:r>
        <w:rPr>
          <w:spacing w:val="-1"/>
        </w:rPr>
        <w:t xml:space="preserve"> </w:t>
      </w:r>
      <w:r>
        <w:t>риск;</w:t>
      </w:r>
    </w:p>
    <w:p w14:paraId="7957BE81" w14:textId="77777777" w:rsidR="00C4003A" w:rsidRDefault="00C4003A" w:rsidP="00C4003A">
      <w:pPr>
        <w:pStyle w:val="ListParagraph"/>
        <w:widowControl w:val="0"/>
        <w:numPr>
          <w:ilvl w:val="1"/>
          <w:numId w:val="29"/>
        </w:numPr>
        <w:tabs>
          <w:tab w:val="left" w:pos="1564"/>
        </w:tabs>
        <w:autoSpaceDE w:val="0"/>
        <w:autoSpaceDN w:val="0"/>
        <w:contextualSpacing w:val="0"/>
      </w:pPr>
      <w:r>
        <w:t>Риск от</w:t>
      </w:r>
      <w:r>
        <w:rPr>
          <w:spacing w:val="-3"/>
        </w:rPr>
        <w:t xml:space="preserve"> </w:t>
      </w:r>
      <w:r>
        <w:t>концентрация;</w:t>
      </w:r>
    </w:p>
    <w:p w14:paraId="36346508" w14:textId="77777777" w:rsidR="00C4003A" w:rsidRDefault="00C4003A" w:rsidP="00C4003A">
      <w:pPr>
        <w:pStyle w:val="ListParagraph"/>
        <w:widowControl w:val="0"/>
        <w:numPr>
          <w:ilvl w:val="1"/>
          <w:numId w:val="29"/>
        </w:numPr>
        <w:tabs>
          <w:tab w:val="left" w:pos="1564"/>
        </w:tabs>
        <w:autoSpaceDE w:val="0"/>
        <w:autoSpaceDN w:val="0"/>
        <w:contextualSpacing w:val="0"/>
      </w:pPr>
      <w:r>
        <w:t>Секюритизационен</w:t>
      </w:r>
      <w:r>
        <w:rPr>
          <w:spacing w:val="-1"/>
        </w:rPr>
        <w:t xml:space="preserve"> </w:t>
      </w:r>
      <w:r>
        <w:t>риск;</w:t>
      </w:r>
    </w:p>
    <w:p w14:paraId="1314BBA6" w14:textId="77777777" w:rsidR="00C4003A" w:rsidRDefault="00C4003A" w:rsidP="00C4003A">
      <w:pPr>
        <w:pStyle w:val="ListParagraph"/>
        <w:widowControl w:val="0"/>
        <w:numPr>
          <w:ilvl w:val="1"/>
          <w:numId w:val="29"/>
        </w:numPr>
        <w:tabs>
          <w:tab w:val="left" w:pos="1564"/>
        </w:tabs>
        <w:autoSpaceDE w:val="0"/>
        <w:autoSpaceDN w:val="0"/>
        <w:contextualSpacing w:val="0"/>
      </w:pPr>
      <w:r>
        <w:t>Пазарен</w:t>
      </w:r>
      <w:r>
        <w:rPr>
          <w:spacing w:val="-1"/>
        </w:rPr>
        <w:t xml:space="preserve"> </w:t>
      </w:r>
      <w:r>
        <w:t>риск;</w:t>
      </w:r>
    </w:p>
    <w:p w14:paraId="1D6F9DAF" w14:textId="77777777" w:rsidR="00C4003A" w:rsidRDefault="00C4003A" w:rsidP="00C4003A">
      <w:pPr>
        <w:pStyle w:val="ListParagraph"/>
        <w:widowControl w:val="0"/>
        <w:numPr>
          <w:ilvl w:val="1"/>
          <w:numId w:val="29"/>
        </w:numPr>
        <w:tabs>
          <w:tab w:val="left" w:pos="1564"/>
        </w:tabs>
        <w:autoSpaceDE w:val="0"/>
        <w:autoSpaceDN w:val="0"/>
        <w:spacing w:before="1" w:line="268" w:lineRule="exact"/>
        <w:contextualSpacing w:val="0"/>
      </w:pPr>
      <w:r>
        <w:t>Сетълмент риск;</w:t>
      </w:r>
    </w:p>
    <w:p w14:paraId="5E00F5E6" w14:textId="77777777" w:rsidR="00C4003A" w:rsidRDefault="00C4003A" w:rsidP="00C4003A">
      <w:pPr>
        <w:pStyle w:val="ListParagraph"/>
        <w:widowControl w:val="0"/>
        <w:numPr>
          <w:ilvl w:val="1"/>
          <w:numId w:val="29"/>
        </w:numPr>
        <w:tabs>
          <w:tab w:val="left" w:pos="1564"/>
        </w:tabs>
        <w:autoSpaceDE w:val="0"/>
        <w:autoSpaceDN w:val="0"/>
        <w:spacing w:line="268" w:lineRule="exact"/>
        <w:contextualSpacing w:val="0"/>
      </w:pPr>
      <w:r>
        <w:t>Лихвен риск, произтичащ от дейността извън търговския</w:t>
      </w:r>
      <w:r>
        <w:rPr>
          <w:spacing w:val="-8"/>
        </w:rPr>
        <w:t xml:space="preserve"> </w:t>
      </w:r>
      <w:r>
        <w:t>портфейл;</w:t>
      </w:r>
    </w:p>
    <w:p w14:paraId="65E662A7" w14:textId="77777777" w:rsidR="00C4003A" w:rsidRDefault="00C4003A" w:rsidP="00C4003A">
      <w:pPr>
        <w:pStyle w:val="ListParagraph"/>
        <w:widowControl w:val="0"/>
        <w:numPr>
          <w:ilvl w:val="1"/>
          <w:numId w:val="29"/>
        </w:numPr>
        <w:tabs>
          <w:tab w:val="left" w:pos="1564"/>
        </w:tabs>
        <w:autoSpaceDE w:val="0"/>
        <w:autoSpaceDN w:val="0"/>
        <w:contextualSpacing w:val="0"/>
      </w:pPr>
      <w:r>
        <w:t>Операционен</w:t>
      </w:r>
      <w:r>
        <w:rPr>
          <w:spacing w:val="-1"/>
        </w:rPr>
        <w:t xml:space="preserve"> </w:t>
      </w:r>
      <w:r>
        <w:t>риск;</w:t>
      </w:r>
    </w:p>
    <w:p w14:paraId="5263824C" w14:textId="77777777" w:rsidR="00C4003A" w:rsidRDefault="00C4003A" w:rsidP="002860F4">
      <w:pPr>
        <w:pStyle w:val="ListParagraph"/>
        <w:widowControl w:val="0"/>
        <w:numPr>
          <w:ilvl w:val="1"/>
          <w:numId w:val="29"/>
        </w:numPr>
        <w:tabs>
          <w:tab w:val="left" w:pos="1564"/>
        </w:tabs>
        <w:autoSpaceDE w:val="0"/>
        <w:autoSpaceDN w:val="0"/>
        <w:contextualSpacing w:val="0"/>
      </w:pPr>
      <w:r>
        <w:t>Ликвиден</w:t>
      </w:r>
      <w:r>
        <w:rPr>
          <w:spacing w:val="-1"/>
        </w:rPr>
        <w:t xml:space="preserve"> </w:t>
      </w:r>
      <w:r>
        <w:t>риск;</w:t>
      </w:r>
    </w:p>
    <w:p w14:paraId="4E8A9173" w14:textId="77777777" w:rsidR="00C4003A" w:rsidRDefault="00C4003A" w:rsidP="002860F4">
      <w:pPr>
        <w:pStyle w:val="ListParagraph"/>
        <w:widowControl w:val="0"/>
        <w:numPr>
          <w:ilvl w:val="1"/>
          <w:numId w:val="29"/>
        </w:numPr>
        <w:tabs>
          <w:tab w:val="left" w:pos="1708"/>
        </w:tabs>
        <w:autoSpaceDE w:val="0"/>
        <w:autoSpaceDN w:val="0"/>
        <w:contextualSpacing w:val="0"/>
      </w:pPr>
      <w:r>
        <w:t>Риск от прекомерен</w:t>
      </w:r>
      <w:r>
        <w:rPr>
          <w:spacing w:val="-3"/>
        </w:rPr>
        <w:t xml:space="preserve"> </w:t>
      </w:r>
      <w:r>
        <w:t>ливъридж;</w:t>
      </w:r>
    </w:p>
    <w:p w14:paraId="34FABB93" w14:textId="77777777" w:rsidR="00C4003A" w:rsidRDefault="00C4003A" w:rsidP="002860F4">
      <w:pPr>
        <w:pStyle w:val="ListParagraph"/>
        <w:widowControl w:val="0"/>
        <w:numPr>
          <w:ilvl w:val="1"/>
          <w:numId w:val="29"/>
        </w:numPr>
        <w:tabs>
          <w:tab w:val="left" w:pos="1708"/>
        </w:tabs>
        <w:autoSpaceDE w:val="0"/>
        <w:autoSpaceDN w:val="0"/>
        <w:contextualSpacing w:val="0"/>
      </w:pPr>
      <w:r>
        <w:t>Риск при корекция на кредитната</w:t>
      </w:r>
      <w:r>
        <w:rPr>
          <w:spacing w:val="-2"/>
        </w:rPr>
        <w:t xml:space="preserve"> </w:t>
      </w:r>
      <w:r>
        <w:t>оценка;</w:t>
      </w:r>
    </w:p>
    <w:p w14:paraId="11FAC53B" w14:textId="77777777" w:rsidR="00C4003A" w:rsidRDefault="00C4003A" w:rsidP="002860F4">
      <w:pPr>
        <w:pStyle w:val="ListParagraph"/>
        <w:widowControl w:val="0"/>
        <w:numPr>
          <w:ilvl w:val="1"/>
          <w:numId w:val="29"/>
        </w:numPr>
        <w:tabs>
          <w:tab w:val="left" w:pos="1708"/>
        </w:tabs>
        <w:autoSpaceDE w:val="0"/>
        <w:autoSpaceDN w:val="0"/>
        <w:contextualSpacing w:val="0"/>
      </w:pPr>
      <w:r>
        <w:t>Големи</w:t>
      </w:r>
      <w:r>
        <w:rPr>
          <w:spacing w:val="-3"/>
        </w:rPr>
        <w:t xml:space="preserve"> </w:t>
      </w:r>
      <w:r>
        <w:t>експозиции.</w:t>
      </w:r>
    </w:p>
    <w:p w14:paraId="615305A0" w14:textId="77777777" w:rsidR="00C4003A" w:rsidRDefault="00C4003A" w:rsidP="00C4003A">
      <w:pPr>
        <w:pStyle w:val="ListParagraph"/>
        <w:widowControl w:val="0"/>
        <w:numPr>
          <w:ilvl w:val="0"/>
          <w:numId w:val="29"/>
        </w:numPr>
        <w:tabs>
          <w:tab w:val="left" w:pos="1423"/>
        </w:tabs>
        <w:autoSpaceDE w:val="0"/>
        <w:autoSpaceDN w:val="0"/>
        <w:ind w:right="913"/>
        <w:contextualSpacing w:val="0"/>
      </w:pPr>
      <w:r>
        <w:t>Правила и процедури за оценка, установяване, управление, наблюдение и редуциране на рискове, породени от макросредата и фазите на икономическия</w:t>
      </w:r>
      <w:r>
        <w:rPr>
          <w:spacing w:val="-14"/>
        </w:rPr>
        <w:t xml:space="preserve"> </w:t>
      </w:r>
      <w:r>
        <w:t>цикъл;</w:t>
      </w:r>
    </w:p>
    <w:p w14:paraId="490BAF01" w14:textId="77777777" w:rsidR="00C4003A" w:rsidRDefault="00C4003A" w:rsidP="00C4003A">
      <w:pPr>
        <w:pStyle w:val="ListParagraph"/>
        <w:widowControl w:val="0"/>
        <w:numPr>
          <w:ilvl w:val="0"/>
          <w:numId w:val="29"/>
        </w:numPr>
        <w:tabs>
          <w:tab w:val="left" w:pos="1423"/>
        </w:tabs>
        <w:autoSpaceDE w:val="0"/>
        <w:autoSpaceDN w:val="0"/>
        <w:spacing w:line="267" w:lineRule="exact"/>
        <w:contextualSpacing w:val="0"/>
      </w:pPr>
      <w:r>
        <w:t>Механизмите за вътрешен контрол по отношение управлението на</w:t>
      </w:r>
      <w:r>
        <w:rPr>
          <w:spacing w:val="-30"/>
        </w:rPr>
        <w:t xml:space="preserve"> </w:t>
      </w:r>
      <w:r>
        <w:t>риска;</w:t>
      </w:r>
    </w:p>
    <w:p w14:paraId="60459812" w14:textId="77777777" w:rsidR="00C4003A" w:rsidRDefault="00C4003A" w:rsidP="00C4003A">
      <w:pPr>
        <w:pStyle w:val="ListParagraph"/>
        <w:widowControl w:val="0"/>
        <w:numPr>
          <w:ilvl w:val="0"/>
          <w:numId w:val="29"/>
        </w:numPr>
        <w:tabs>
          <w:tab w:val="left" w:pos="1423"/>
        </w:tabs>
        <w:autoSpaceDE w:val="0"/>
        <w:autoSpaceDN w:val="0"/>
        <w:ind w:right="913"/>
        <w:contextualSpacing w:val="0"/>
      </w:pPr>
      <w:r>
        <w:t>Вътрешнодружествените счетоводни процедури по управлението и докладването на риска;</w:t>
      </w:r>
    </w:p>
    <w:p w14:paraId="023ECD0F" w14:textId="00EA29FC" w:rsidR="00C4003A" w:rsidRPr="00C4003A" w:rsidRDefault="00C4003A" w:rsidP="002860F4">
      <w:pPr>
        <w:pStyle w:val="NoSpacing"/>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t>Правилата</w:t>
      </w:r>
      <w:r w:rsidR="002860F4">
        <w:rPr>
          <w:lang w:val="bg-BG"/>
        </w:rPr>
        <w:t xml:space="preserve"> </w:t>
      </w:r>
      <w:r>
        <w:t>и</w:t>
      </w:r>
      <w:r w:rsidR="002860F4">
        <w:rPr>
          <w:lang w:val="bg-BG"/>
        </w:rPr>
        <w:t xml:space="preserve"> </w:t>
      </w:r>
      <w:r>
        <w:t>процедурите</w:t>
      </w:r>
      <w:r w:rsidR="002860F4">
        <w:rPr>
          <w:lang w:val="bg-BG"/>
        </w:rPr>
        <w:t xml:space="preserve"> </w:t>
      </w:r>
      <w:r>
        <w:t>за</w:t>
      </w:r>
      <w:r w:rsidR="002860F4">
        <w:rPr>
          <w:lang w:val="bg-BG"/>
        </w:rPr>
        <w:t xml:space="preserve"> </w:t>
      </w:r>
      <w:r>
        <w:t>оценка</w:t>
      </w:r>
      <w:r w:rsidR="002860F4">
        <w:rPr>
          <w:lang w:val="bg-BG"/>
        </w:rPr>
        <w:t xml:space="preserve"> </w:t>
      </w:r>
      <w:r>
        <w:t>и</w:t>
      </w:r>
      <w:r w:rsidR="002860F4">
        <w:rPr>
          <w:lang w:val="bg-BG"/>
        </w:rPr>
        <w:t xml:space="preserve"> </w:t>
      </w:r>
      <w:r>
        <w:t>поддържане</w:t>
      </w:r>
      <w:r w:rsidR="002860F4">
        <w:rPr>
          <w:lang w:val="bg-BG"/>
        </w:rPr>
        <w:t xml:space="preserve"> </w:t>
      </w:r>
      <w:r>
        <w:t>стойността,</w:t>
      </w:r>
      <w:r w:rsidR="002860F4">
        <w:rPr>
          <w:lang w:val="bg-BG"/>
        </w:rPr>
        <w:t xml:space="preserve"> </w:t>
      </w:r>
      <w:r>
        <w:t>видовете</w:t>
      </w:r>
      <w:r w:rsidR="002860F4">
        <w:rPr>
          <w:lang w:val="bg-BG"/>
        </w:rPr>
        <w:t xml:space="preserve"> </w:t>
      </w:r>
      <w:r>
        <w:rPr>
          <w:spacing w:val="-18"/>
        </w:rPr>
        <w:t>и</w:t>
      </w:r>
      <w:r w:rsidR="002860F4">
        <w:rPr>
          <w:spacing w:val="-18"/>
          <w:lang w:val="bg-BG"/>
        </w:rPr>
        <w:t xml:space="preserve"> </w:t>
      </w:r>
      <w:r>
        <w:rPr>
          <w:spacing w:val="-18"/>
        </w:rPr>
        <w:t xml:space="preserve"> </w:t>
      </w:r>
      <w:r>
        <w:t>разпределението на вътрешния</w:t>
      </w:r>
      <w:r>
        <w:rPr>
          <w:spacing w:val="-1"/>
        </w:rPr>
        <w:t xml:space="preserve"> </w:t>
      </w:r>
      <w:r>
        <w:t>капитал.</w:t>
      </w:r>
    </w:p>
    <w:p w14:paraId="3BADCF36" w14:textId="77777777" w:rsidR="00C4003A" w:rsidRPr="00C4003A" w:rsidRDefault="00C4003A" w:rsidP="00C4003A">
      <w:pPr>
        <w:pStyle w:val="NoSpacing"/>
        <w:rPr>
          <w:rFonts w:cs="Calibri"/>
          <w:b/>
          <w:bCs/>
          <w:sz w:val="24"/>
          <w:szCs w:val="24"/>
          <w:lang w:val="bg-BG" w:eastAsia="bg-BG"/>
          <w14:shadow w14:blurRad="50800" w14:dist="38100" w14:dir="2700000" w14:sx="100000" w14:sy="100000" w14:kx="0" w14:ky="0" w14:algn="tl">
            <w14:srgbClr w14:val="000000">
              <w14:alpha w14:val="60000"/>
            </w14:srgbClr>
          </w14:shadow>
        </w:rPr>
      </w:pPr>
    </w:p>
    <w:p w14:paraId="51AA9667" w14:textId="33553126" w:rsidR="002860F4" w:rsidRDefault="002860F4" w:rsidP="00217195">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sidRPr="002860F4">
        <w:rPr>
          <w:rFonts w:cs="Calibri"/>
          <w:b/>
          <w:bCs/>
          <w:sz w:val="24"/>
          <w:szCs w:val="24"/>
          <w:lang w:val="bg-BG" w:eastAsia="bg-BG"/>
          <w14:shadow w14:blurRad="50800" w14:dist="38100" w14:dir="2700000" w14:sx="100000" w14:sy="100000" w14:kx="0" w14:ky="0" w14:algn="tl">
            <w14:srgbClr w14:val="000000">
              <w14:alpha w14:val="60000"/>
            </w14:srgbClr>
          </w14:shadow>
        </w:rPr>
        <w:t>ОРГАНИЗАЦИОННА СТРУКТУРА И РАЗПРЕДЕЛЕНИЕ НА ОТГОВОРНОСТИТЕ ПО УПРАВЛЕНИЕТО НА РИСКА</w:t>
      </w:r>
    </w:p>
    <w:p w14:paraId="51E5CDB2" w14:textId="77777777" w:rsidR="00AD61AD" w:rsidRDefault="00AD61AD" w:rsidP="00AD61AD">
      <w:pPr>
        <w:pStyle w:val="BodyText"/>
        <w:ind w:right="912"/>
        <w:jc w:val="both"/>
      </w:pPr>
      <w:r>
        <w:t>Чл. 2. (1) Организационната структура на инвестиционния посредник, свързана с оценката, управлението, наблюдението и редуцирането на риска, е петстепенна:</w:t>
      </w:r>
    </w:p>
    <w:p w14:paraId="3F0FCA92" w14:textId="77777777" w:rsidR="00AD61AD" w:rsidRDefault="00AD61AD" w:rsidP="00AD61AD">
      <w:pPr>
        <w:pStyle w:val="ListParagraph"/>
        <w:widowControl w:val="0"/>
        <w:numPr>
          <w:ilvl w:val="0"/>
          <w:numId w:val="34"/>
        </w:numPr>
        <w:tabs>
          <w:tab w:val="left" w:pos="1565"/>
        </w:tabs>
        <w:autoSpaceDE w:val="0"/>
        <w:autoSpaceDN w:val="0"/>
        <w:contextualSpacing w:val="0"/>
      </w:pPr>
      <w:r>
        <w:t>Съвет на</w:t>
      </w:r>
      <w:r>
        <w:rPr>
          <w:spacing w:val="-2"/>
        </w:rPr>
        <w:t xml:space="preserve"> </w:t>
      </w:r>
      <w:r>
        <w:t>директорите;</w:t>
      </w:r>
    </w:p>
    <w:p w14:paraId="5BDB172F" w14:textId="77777777" w:rsidR="00AD61AD" w:rsidRDefault="00AD61AD" w:rsidP="00AD61AD">
      <w:pPr>
        <w:pStyle w:val="ListParagraph"/>
        <w:widowControl w:val="0"/>
        <w:numPr>
          <w:ilvl w:val="0"/>
          <w:numId w:val="34"/>
        </w:numPr>
        <w:tabs>
          <w:tab w:val="left" w:pos="1565"/>
        </w:tabs>
        <w:autoSpaceDE w:val="0"/>
        <w:autoSpaceDN w:val="0"/>
        <w:contextualSpacing w:val="0"/>
      </w:pPr>
      <w:r>
        <w:t>Изпълнителни директори /лица, представляващи инвестиционния</w:t>
      </w:r>
      <w:r>
        <w:rPr>
          <w:spacing w:val="-8"/>
        </w:rPr>
        <w:t xml:space="preserve"> </w:t>
      </w:r>
      <w:r>
        <w:t>посредник/;</w:t>
      </w:r>
    </w:p>
    <w:p w14:paraId="3720E3EF" w14:textId="75459D58" w:rsidR="00A00C0D" w:rsidRDefault="00A00C0D" w:rsidP="00AD61AD">
      <w:pPr>
        <w:pStyle w:val="ListParagraph"/>
        <w:widowControl w:val="0"/>
        <w:numPr>
          <w:ilvl w:val="0"/>
          <w:numId w:val="34"/>
        </w:numPr>
        <w:tabs>
          <w:tab w:val="left" w:pos="1565"/>
        </w:tabs>
        <w:autoSpaceDE w:val="0"/>
        <w:autoSpaceDN w:val="0"/>
        <w:contextualSpacing w:val="0"/>
      </w:pPr>
      <w:r>
        <w:t>Вътрешен контрол</w:t>
      </w:r>
    </w:p>
    <w:p w14:paraId="6D27E6D7" w14:textId="77777777" w:rsidR="00AD61AD" w:rsidRDefault="00AD61AD" w:rsidP="00AD61AD">
      <w:pPr>
        <w:pStyle w:val="ListParagraph"/>
        <w:widowControl w:val="0"/>
        <w:numPr>
          <w:ilvl w:val="0"/>
          <w:numId w:val="34"/>
        </w:numPr>
        <w:tabs>
          <w:tab w:val="left" w:pos="1565"/>
        </w:tabs>
        <w:autoSpaceDE w:val="0"/>
        <w:autoSpaceDN w:val="0"/>
        <w:spacing w:before="1" w:line="268" w:lineRule="exact"/>
        <w:contextualSpacing w:val="0"/>
      </w:pPr>
      <w:r>
        <w:t>Оперативни звена и служители, работещи по договор за инвестиционния</w:t>
      </w:r>
      <w:r>
        <w:rPr>
          <w:spacing w:val="-13"/>
        </w:rPr>
        <w:t xml:space="preserve"> </w:t>
      </w:r>
      <w:r>
        <w:t>посредник.</w:t>
      </w:r>
    </w:p>
    <w:p w14:paraId="2ECFC4A9" w14:textId="738FB596" w:rsidR="00AD61AD" w:rsidRDefault="00AD61AD" w:rsidP="00AD61AD">
      <w:pPr>
        <w:pStyle w:val="ListParagraph"/>
        <w:widowControl w:val="0"/>
        <w:numPr>
          <w:ilvl w:val="0"/>
          <w:numId w:val="33"/>
        </w:numPr>
        <w:tabs>
          <w:tab w:val="left" w:pos="1183"/>
        </w:tabs>
        <w:autoSpaceDE w:val="0"/>
        <w:autoSpaceDN w:val="0"/>
        <w:ind w:right="912" w:firstLine="0"/>
        <w:contextualSpacing w:val="0"/>
        <w:jc w:val="both"/>
      </w:pPr>
      <w:r>
        <w:t xml:space="preserve">Организационната структура се изгражда в съответствие с принципа за независимост при разпределение на функциите. Организационната структура, правата и задълженията на служителите, работещи по договор за инвестиционния посредник, както и начинът и редът за създаване на условия за избягване на конфликти на интереси, а при възникването им – тяхното справедливо третиране се определят с Правилата за вътрешната организация </w:t>
      </w:r>
      <w:r>
        <w:lastRenderedPageBreak/>
        <w:t>и вътрешния контрол на „БАЛКАНСКА КОНСУЛТАНТСКА КОМПАНИЯ“ ИП ЕАД.</w:t>
      </w:r>
    </w:p>
    <w:p w14:paraId="73B8594A" w14:textId="77777777" w:rsidR="00AD61AD" w:rsidRDefault="00AD61AD" w:rsidP="00AD61AD">
      <w:pPr>
        <w:pStyle w:val="BodyText"/>
      </w:pPr>
    </w:p>
    <w:p w14:paraId="4258CDC4" w14:textId="61D02FD2" w:rsidR="00AD61AD" w:rsidRDefault="00AD61AD" w:rsidP="00AD61AD">
      <w:pPr>
        <w:pStyle w:val="BodyText"/>
        <w:ind w:right="936"/>
      </w:pPr>
      <w:r>
        <w:t xml:space="preserve">Чл. </w:t>
      </w:r>
      <w:r w:rsidR="00B52EF7">
        <w:t>3</w:t>
      </w:r>
      <w:r>
        <w:t>. Съветът на директорите при инвестиционния посредник има следните отговорности по оценката, управлението, наблюдението и редуцирането на риска:</w:t>
      </w:r>
    </w:p>
    <w:p w14:paraId="63DAB33D" w14:textId="0AC7892C" w:rsidR="00AD61AD" w:rsidRDefault="00AD61AD" w:rsidP="00AD61AD">
      <w:pPr>
        <w:pStyle w:val="ListParagraph"/>
        <w:widowControl w:val="0"/>
        <w:numPr>
          <w:ilvl w:val="1"/>
          <w:numId w:val="33"/>
        </w:numPr>
        <w:tabs>
          <w:tab w:val="left" w:pos="1560"/>
        </w:tabs>
        <w:autoSpaceDE w:val="0"/>
        <w:autoSpaceDN w:val="0"/>
        <w:ind w:left="1560" w:right="914" w:hanging="284"/>
        <w:contextualSpacing w:val="0"/>
        <w:jc w:val="both"/>
      </w:pPr>
      <w:r>
        <w:t>Одобрява стратегията и политиката за оценка, организация, поемане, управление, наблюдение и редуциране на</w:t>
      </w:r>
      <w:r>
        <w:rPr>
          <w:spacing w:val="-7"/>
        </w:rPr>
        <w:t xml:space="preserve"> </w:t>
      </w:r>
      <w:r>
        <w:t>риска;</w:t>
      </w:r>
    </w:p>
    <w:p w14:paraId="239814C3" w14:textId="7947AF55" w:rsidR="00AD61AD" w:rsidRDefault="00AD61AD" w:rsidP="00B52EF7">
      <w:pPr>
        <w:pStyle w:val="ListParagraph"/>
        <w:widowControl w:val="0"/>
        <w:numPr>
          <w:ilvl w:val="1"/>
          <w:numId w:val="33"/>
        </w:numPr>
        <w:tabs>
          <w:tab w:val="left" w:pos="1564"/>
        </w:tabs>
        <w:autoSpaceDE w:val="0"/>
        <w:autoSpaceDN w:val="0"/>
        <w:ind w:right="913" w:hanging="360"/>
        <w:contextualSpacing w:val="0"/>
        <w:jc w:val="both"/>
      </w:pPr>
      <w:r>
        <w:t>Извършва периодичен преглед на стратегията и политиката по т. 1 веднъж годишно в срок до 31 януари. При необходимост прегледът на стратегията и политиката по т. 1 се извършва</w:t>
      </w:r>
      <w:r>
        <w:rPr>
          <w:spacing w:val="-13"/>
        </w:rPr>
        <w:t xml:space="preserve"> </w:t>
      </w:r>
      <w:r>
        <w:t>по-често;</w:t>
      </w:r>
    </w:p>
    <w:p w14:paraId="1C615110" w14:textId="77777777" w:rsidR="00AD61AD" w:rsidRDefault="00AD61AD" w:rsidP="00AD61AD">
      <w:pPr>
        <w:pStyle w:val="ListParagraph"/>
        <w:widowControl w:val="0"/>
        <w:numPr>
          <w:ilvl w:val="1"/>
          <w:numId w:val="33"/>
        </w:numPr>
        <w:tabs>
          <w:tab w:val="left" w:pos="1563"/>
        </w:tabs>
        <w:autoSpaceDE w:val="0"/>
        <w:autoSpaceDN w:val="0"/>
        <w:ind w:left="1574" w:right="915" w:hanging="359"/>
        <w:contextualSpacing w:val="0"/>
        <w:jc w:val="both"/>
      </w:pPr>
      <w:r>
        <w:t>Одобрява, по предложение на изпълнителните директори /представляващите инвестиционния посредник/ пределно допустимите нива по основните видове</w:t>
      </w:r>
      <w:r>
        <w:rPr>
          <w:spacing w:val="-18"/>
        </w:rPr>
        <w:t xml:space="preserve"> </w:t>
      </w:r>
      <w:r>
        <w:t>риск;</w:t>
      </w:r>
    </w:p>
    <w:p w14:paraId="11DA5DCB" w14:textId="08B9FAD3" w:rsidR="00AD61AD" w:rsidRDefault="00AD61AD" w:rsidP="00AD61AD">
      <w:pPr>
        <w:pStyle w:val="ListParagraph"/>
        <w:widowControl w:val="0"/>
        <w:numPr>
          <w:ilvl w:val="1"/>
          <w:numId w:val="33"/>
        </w:numPr>
        <w:tabs>
          <w:tab w:val="left" w:pos="1563"/>
        </w:tabs>
        <w:autoSpaceDE w:val="0"/>
        <w:autoSpaceDN w:val="0"/>
        <w:ind w:left="1574" w:right="914" w:hanging="360"/>
        <w:contextualSpacing w:val="0"/>
        <w:jc w:val="both"/>
      </w:pPr>
      <w:r>
        <w:t>Взема решения по отношение на общата рискова експозиция на дружеството;</w:t>
      </w:r>
    </w:p>
    <w:p w14:paraId="014CFC15" w14:textId="77777777" w:rsidR="00AD61AD" w:rsidRDefault="00AD61AD" w:rsidP="00AD61AD">
      <w:pPr>
        <w:pStyle w:val="ListParagraph"/>
        <w:widowControl w:val="0"/>
        <w:numPr>
          <w:ilvl w:val="1"/>
          <w:numId w:val="33"/>
        </w:numPr>
        <w:tabs>
          <w:tab w:val="left" w:pos="1563"/>
        </w:tabs>
        <w:autoSpaceDE w:val="0"/>
        <w:autoSpaceDN w:val="0"/>
        <w:ind w:left="1574" w:right="914" w:hanging="360"/>
        <w:contextualSpacing w:val="0"/>
        <w:jc w:val="both"/>
      </w:pPr>
      <w:r>
        <w:t>Контролира рисковите фактори за инвестиционния посредник чрез обсъждане на доклади, внесени от изпълнителните директори, и взема решения в границите на своите</w:t>
      </w:r>
      <w:r>
        <w:rPr>
          <w:spacing w:val="-3"/>
        </w:rPr>
        <w:t xml:space="preserve"> </w:t>
      </w:r>
      <w:r>
        <w:t>правомощия;</w:t>
      </w:r>
    </w:p>
    <w:p w14:paraId="016F621D" w14:textId="77777777" w:rsidR="00AD61AD" w:rsidRDefault="00AD61AD" w:rsidP="00AD61AD">
      <w:pPr>
        <w:pStyle w:val="ListParagraph"/>
        <w:widowControl w:val="0"/>
        <w:numPr>
          <w:ilvl w:val="1"/>
          <w:numId w:val="33"/>
        </w:numPr>
        <w:tabs>
          <w:tab w:val="left" w:pos="1563"/>
        </w:tabs>
        <w:autoSpaceDE w:val="0"/>
        <w:autoSpaceDN w:val="0"/>
        <w:ind w:left="1574" w:right="916" w:hanging="360"/>
        <w:contextualSpacing w:val="0"/>
        <w:jc w:val="both"/>
      </w:pPr>
      <w:r>
        <w:t>Взема решения за кадрово, софтуерно и друго осигуряване на дейностите по управление на</w:t>
      </w:r>
      <w:r>
        <w:rPr>
          <w:spacing w:val="-3"/>
        </w:rPr>
        <w:t xml:space="preserve"> </w:t>
      </w:r>
      <w:r>
        <w:t>риска;</w:t>
      </w:r>
    </w:p>
    <w:p w14:paraId="291393A8" w14:textId="61D838BB" w:rsidR="00AD61AD" w:rsidRDefault="00AD61AD" w:rsidP="00AD61AD">
      <w:pPr>
        <w:pStyle w:val="ListParagraph"/>
        <w:widowControl w:val="0"/>
        <w:numPr>
          <w:ilvl w:val="1"/>
          <w:numId w:val="33"/>
        </w:numPr>
        <w:tabs>
          <w:tab w:val="left" w:pos="1563"/>
        </w:tabs>
        <w:autoSpaceDE w:val="0"/>
        <w:autoSpaceDN w:val="0"/>
        <w:ind w:left="1574" w:right="915" w:hanging="360"/>
        <w:contextualSpacing w:val="0"/>
        <w:jc w:val="both"/>
      </w:pPr>
      <w:r>
        <w:t>Носи отговорност по отношение на стратегиите и политиките във връзка с управлението и контрола на</w:t>
      </w:r>
      <w:r>
        <w:rPr>
          <w:spacing w:val="-11"/>
        </w:rPr>
        <w:t xml:space="preserve"> </w:t>
      </w:r>
      <w:r>
        <w:t>рисковете.</w:t>
      </w:r>
    </w:p>
    <w:p w14:paraId="6F145DF1" w14:textId="77777777" w:rsidR="00AD61AD" w:rsidRDefault="00AD61AD" w:rsidP="00AD61AD">
      <w:pPr>
        <w:pStyle w:val="BodyText"/>
        <w:spacing w:before="8"/>
        <w:rPr>
          <w:sz w:val="21"/>
        </w:rPr>
      </w:pPr>
    </w:p>
    <w:p w14:paraId="7B64EA29" w14:textId="4A7807B7" w:rsidR="00AD61AD" w:rsidRDefault="00AD61AD" w:rsidP="00F072F5">
      <w:pPr>
        <w:pStyle w:val="BodyText"/>
        <w:ind w:right="936"/>
      </w:pPr>
      <w:r>
        <w:t xml:space="preserve">Чл. </w:t>
      </w:r>
      <w:r w:rsidR="00F072F5">
        <w:t>4</w:t>
      </w:r>
      <w:r>
        <w:t>. Изпълнителните директори и лицата, представляващи инвестиционния посредник, имат следните отговорности по оценката, управлението, наблюдението и редуцирането на риска:</w:t>
      </w:r>
    </w:p>
    <w:p w14:paraId="69781603" w14:textId="15141CCB" w:rsidR="00AD61AD" w:rsidRDefault="00AD61AD" w:rsidP="00AD61AD">
      <w:pPr>
        <w:pStyle w:val="ListParagraph"/>
        <w:widowControl w:val="0"/>
        <w:numPr>
          <w:ilvl w:val="0"/>
          <w:numId w:val="32"/>
        </w:numPr>
        <w:tabs>
          <w:tab w:val="left" w:pos="1562"/>
        </w:tabs>
        <w:autoSpaceDE w:val="0"/>
        <w:autoSpaceDN w:val="0"/>
        <w:spacing w:before="1"/>
        <w:ind w:right="916" w:hanging="360"/>
        <w:contextualSpacing w:val="0"/>
        <w:jc w:val="both"/>
      </w:pPr>
      <w:r>
        <w:t>Организират работата по правилно провеждане и изпълнение на приетите от Съвета на директорите стратегия и политика за оценка, организация, управление, наблюдение и редуциране на риска в инвестиционния посредник;</w:t>
      </w:r>
    </w:p>
    <w:p w14:paraId="4BFC454D" w14:textId="77777777" w:rsidR="00AD61AD" w:rsidRDefault="00AD61AD" w:rsidP="00AD61AD">
      <w:pPr>
        <w:pStyle w:val="ListParagraph"/>
        <w:widowControl w:val="0"/>
        <w:numPr>
          <w:ilvl w:val="0"/>
          <w:numId w:val="32"/>
        </w:numPr>
        <w:tabs>
          <w:tab w:val="left" w:pos="1563"/>
        </w:tabs>
        <w:autoSpaceDE w:val="0"/>
        <w:autoSpaceDN w:val="0"/>
        <w:ind w:left="1574" w:right="914" w:hanging="360"/>
        <w:contextualSpacing w:val="0"/>
        <w:jc w:val="both"/>
      </w:pPr>
      <w:r>
        <w:t>Предлагат за одобрение от Съвета на директорите на пределно допустимите нива по основните видове риск и следят за тяхното спазване, като при нарушаването им представят на Съвета на директорите доклад за причините и размера на превишението им и за мерките, които следва да се предприемат с цел възстановяване на пределно допустимите нива;</w:t>
      </w:r>
    </w:p>
    <w:p w14:paraId="27FB82C0" w14:textId="77777777" w:rsidR="00AD61AD" w:rsidRDefault="00AD61AD" w:rsidP="00AD61AD">
      <w:pPr>
        <w:pStyle w:val="ListParagraph"/>
        <w:widowControl w:val="0"/>
        <w:numPr>
          <w:ilvl w:val="0"/>
          <w:numId w:val="32"/>
        </w:numPr>
        <w:tabs>
          <w:tab w:val="left" w:pos="1563"/>
        </w:tabs>
        <w:autoSpaceDE w:val="0"/>
        <w:autoSpaceDN w:val="0"/>
        <w:ind w:left="1574" w:right="916" w:hanging="360"/>
        <w:contextualSpacing w:val="0"/>
        <w:jc w:val="both"/>
      </w:pPr>
      <w:r>
        <w:t>Създават организация на работа, която осигурява спазването на определените лимити и нива на</w:t>
      </w:r>
      <w:r>
        <w:rPr>
          <w:spacing w:val="-1"/>
        </w:rPr>
        <w:t xml:space="preserve"> </w:t>
      </w:r>
      <w:r>
        <w:t>риск;</w:t>
      </w:r>
    </w:p>
    <w:p w14:paraId="7D5A95E6" w14:textId="77777777" w:rsidR="00A00C0D" w:rsidRDefault="00AD61AD" w:rsidP="00A00C0D">
      <w:pPr>
        <w:pStyle w:val="ListParagraph"/>
        <w:widowControl w:val="0"/>
        <w:numPr>
          <w:ilvl w:val="0"/>
          <w:numId w:val="32"/>
        </w:numPr>
        <w:tabs>
          <w:tab w:val="left" w:pos="1564"/>
        </w:tabs>
        <w:autoSpaceDE w:val="0"/>
        <w:autoSpaceDN w:val="0"/>
        <w:spacing w:before="38"/>
        <w:ind w:left="1575" w:right="912" w:hanging="359"/>
        <w:contextualSpacing w:val="0"/>
        <w:jc w:val="both"/>
      </w:pPr>
      <w:r>
        <w:t xml:space="preserve">Следят за съответствие на прилаганите от съответните служители процедури по измерване, наблюдение, оценка и докладване на риска с приетите вътрешно- дружествени документи от Съвета на директорите </w:t>
      </w:r>
    </w:p>
    <w:p w14:paraId="1537D286" w14:textId="77777777" w:rsidR="00A00C0D" w:rsidRDefault="00AD61AD" w:rsidP="00A00C0D">
      <w:pPr>
        <w:pStyle w:val="ListParagraph"/>
        <w:widowControl w:val="0"/>
        <w:numPr>
          <w:ilvl w:val="0"/>
          <w:numId w:val="32"/>
        </w:numPr>
        <w:tabs>
          <w:tab w:val="left" w:pos="1564"/>
        </w:tabs>
        <w:autoSpaceDE w:val="0"/>
        <w:autoSpaceDN w:val="0"/>
        <w:spacing w:before="38"/>
        <w:ind w:left="1575" w:right="912" w:hanging="359"/>
        <w:contextualSpacing w:val="0"/>
        <w:jc w:val="both"/>
      </w:pPr>
      <w:r>
        <w:t>Изготвят предложения до Съвета на директорите за кадрово, материално-техническо и методическо осигуряване на дейностите по оценката, управлението, наблюдението и редуцирането на риска;</w:t>
      </w:r>
    </w:p>
    <w:p w14:paraId="235C103C" w14:textId="77777777" w:rsidR="00A00C0D" w:rsidRDefault="00A00C0D" w:rsidP="00A00C0D">
      <w:pPr>
        <w:widowControl w:val="0"/>
        <w:tabs>
          <w:tab w:val="left" w:pos="1564"/>
        </w:tabs>
        <w:autoSpaceDE w:val="0"/>
        <w:autoSpaceDN w:val="0"/>
        <w:spacing w:before="38"/>
        <w:ind w:right="936"/>
      </w:pPr>
      <w:r>
        <w:t>Чл. 5. Вътрешен контрол има следните задължения:</w:t>
      </w:r>
    </w:p>
    <w:p w14:paraId="013C28C9" w14:textId="77777777" w:rsidR="00A00C0D" w:rsidRDefault="00A00C0D" w:rsidP="00A00C0D">
      <w:pPr>
        <w:pStyle w:val="ListParagraph"/>
        <w:widowControl w:val="0"/>
        <w:numPr>
          <w:ilvl w:val="0"/>
          <w:numId w:val="35"/>
        </w:numPr>
        <w:tabs>
          <w:tab w:val="left" w:pos="1564"/>
        </w:tabs>
        <w:autoSpaceDE w:val="0"/>
        <w:autoSpaceDN w:val="0"/>
        <w:spacing w:before="38"/>
        <w:ind w:right="936"/>
      </w:pPr>
      <w:r>
        <w:t>С</w:t>
      </w:r>
      <w:r w:rsidR="00AD61AD">
        <w:t xml:space="preserve">леди за изпълнение на капиталовите изисквания за покриване на рисковете, свързани с дейността на инвестиционния посредник, като поддържа по всяко време собствен капитал, вътрешен капитал, парични средства и други активи </w:t>
      </w:r>
      <w:r w:rsidR="00AD61AD">
        <w:lastRenderedPageBreak/>
        <w:t>съгласно изискванията на Наредба № 50, Регламент (ЕС) 2019/2033 на Европейския парламент и на Съвета от 27 ноември 2019 година относно пруденциалните изисквания за инвестиционните посредници и за изменение</w:t>
      </w:r>
      <w:r w:rsidR="00AD61AD" w:rsidRPr="00A00C0D">
        <w:rPr>
          <w:spacing w:val="5"/>
        </w:rPr>
        <w:t xml:space="preserve"> </w:t>
      </w:r>
      <w:r w:rsidR="00AD61AD">
        <w:t>на</w:t>
      </w:r>
      <w:r>
        <w:t xml:space="preserve"> </w:t>
      </w:r>
      <w:r w:rsidR="00AD61AD">
        <w:t>регламенти (ЕС) № 1093/2010, (ЕС) № 575/2013, (ЕС) № 600/2014 и (ЕС) № 806/2014</w:t>
      </w:r>
      <w:r>
        <w:t xml:space="preserve"> </w:t>
      </w:r>
      <w:r w:rsidR="00AD61AD">
        <w:t>(Регламент (ЕС) 2019/2033) и Регламент 575/2013 относно пруденциалните изисквания за кредитните институции и инвестиционните посредници (Регламент 575/2013);</w:t>
      </w:r>
    </w:p>
    <w:p w14:paraId="071FBB4A" w14:textId="77777777" w:rsidR="00A00C0D" w:rsidRDefault="00A00C0D" w:rsidP="00A00C0D">
      <w:pPr>
        <w:pStyle w:val="ListParagraph"/>
        <w:widowControl w:val="0"/>
        <w:numPr>
          <w:ilvl w:val="0"/>
          <w:numId w:val="35"/>
        </w:numPr>
        <w:tabs>
          <w:tab w:val="left" w:pos="1564"/>
        </w:tabs>
        <w:autoSpaceDE w:val="0"/>
        <w:autoSpaceDN w:val="0"/>
        <w:spacing w:before="38"/>
        <w:ind w:right="936"/>
      </w:pPr>
      <w:r>
        <w:t>С</w:t>
      </w:r>
      <w:r w:rsidR="00AD61AD">
        <w:t>леди за спазването на нормативно установените лимити в Наредба № 50, Регламент (ЕС) 2019/2033 и Регламент</w:t>
      </w:r>
      <w:r w:rsidR="00AD61AD" w:rsidRPr="00A00C0D">
        <w:rPr>
          <w:spacing w:val="-12"/>
        </w:rPr>
        <w:t xml:space="preserve"> </w:t>
      </w:r>
      <w:r w:rsidR="00AD61AD">
        <w:t>575/2013;</w:t>
      </w:r>
    </w:p>
    <w:p w14:paraId="2CC3623F" w14:textId="77777777" w:rsidR="00A00C0D" w:rsidRDefault="00A00C0D" w:rsidP="00A00C0D">
      <w:pPr>
        <w:pStyle w:val="ListParagraph"/>
        <w:widowControl w:val="0"/>
        <w:numPr>
          <w:ilvl w:val="0"/>
          <w:numId w:val="35"/>
        </w:numPr>
        <w:tabs>
          <w:tab w:val="left" w:pos="1564"/>
        </w:tabs>
        <w:autoSpaceDE w:val="0"/>
        <w:autoSpaceDN w:val="0"/>
        <w:spacing w:before="38"/>
        <w:ind w:right="936"/>
      </w:pPr>
      <w:r>
        <w:t>Н</w:t>
      </w:r>
      <w:r w:rsidR="00AD61AD">
        <w:t>аблюдава, анализира, оценява и измерва текущо риска в инвестиционния посредник, в това число спазването на определените лимити и нива на</w:t>
      </w:r>
      <w:r w:rsidR="00AD61AD" w:rsidRPr="00A00C0D">
        <w:rPr>
          <w:spacing w:val="-1"/>
        </w:rPr>
        <w:t xml:space="preserve"> </w:t>
      </w:r>
      <w:r w:rsidR="00AD61AD">
        <w:t>риск;</w:t>
      </w:r>
    </w:p>
    <w:p w14:paraId="0E830526" w14:textId="4D53E500" w:rsidR="00A00C0D" w:rsidRDefault="00A00C0D" w:rsidP="00A00C0D">
      <w:pPr>
        <w:pStyle w:val="ListParagraph"/>
        <w:widowControl w:val="0"/>
        <w:numPr>
          <w:ilvl w:val="0"/>
          <w:numId w:val="35"/>
        </w:numPr>
        <w:tabs>
          <w:tab w:val="left" w:pos="1564"/>
        </w:tabs>
        <w:autoSpaceDE w:val="0"/>
        <w:autoSpaceDN w:val="0"/>
        <w:spacing w:before="38"/>
        <w:ind w:right="936"/>
      </w:pPr>
      <w:r>
        <w:t>О</w:t>
      </w:r>
      <w:r w:rsidR="00AD61AD">
        <w:t>съществява периодично преглед на управлението на риска, включително и на ефективността на прилагане на настоящите правила, съобразно пазарните</w:t>
      </w:r>
      <w:r w:rsidR="00AD61AD" w:rsidRPr="00A00C0D">
        <w:rPr>
          <w:spacing w:val="-5"/>
        </w:rPr>
        <w:t xml:space="preserve"> </w:t>
      </w:r>
      <w:r w:rsidR="00AD61AD">
        <w:t>условия;</w:t>
      </w:r>
    </w:p>
    <w:p w14:paraId="3C8CB56E" w14:textId="77777777" w:rsidR="00A00C0D" w:rsidRDefault="00A00C0D" w:rsidP="00A00C0D">
      <w:pPr>
        <w:pStyle w:val="ListParagraph"/>
        <w:widowControl w:val="0"/>
        <w:numPr>
          <w:ilvl w:val="0"/>
          <w:numId w:val="35"/>
        </w:numPr>
        <w:tabs>
          <w:tab w:val="left" w:pos="1564"/>
        </w:tabs>
        <w:autoSpaceDE w:val="0"/>
        <w:autoSpaceDN w:val="0"/>
        <w:spacing w:before="38"/>
        <w:ind w:right="936"/>
      </w:pPr>
      <w:r>
        <w:t>И</w:t>
      </w:r>
      <w:r w:rsidR="00AD61AD">
        <w:t>зготвя доклади за състоянието на риска в инвестиционния посредник и внася същите за разглеждане, обсъждане и приемане от Съвета на</w:t>
      </w:r>
      <w:r w:rsidR="00AD61AD" w:rsidRPr="00A00C0D">
        <w:rPr>
          <w:spacing w:val="-2"/>
        </w:rPr>
        <w:t xml:space="preserve"> </w:t>
      </w:r>
      <w:r w:rsidR="00AD61AD">
        <w:t>директорите;</w:t>
      </w:r>
    </w:p>
    <w:p w14:paraId="5160D5D5" w14:textId="46530ABB" w:rsidR="00AD61AD" w:rsidRDefault="00A00C0D" w:rsidP="00A00C0D">
      <w:pPr>
        <w:pStyle w:val="ListParagraph"/>
        <w:widowControl w:val="0"/>
        <w:numPr>
          <w:ilvl w:val="0"/>
          <w:numId w:val="35"/>
        </w:numPr>
        <w:tabs>
          <w:tab w:val="left" w:pos="1564"/>
        </w:tabs>
        <w:autoSpaceDE w:val="0"/>
        <w:autoSpaceDN w:val="0"/>
        <w:spacing w:before="38"/>
        <w:ind w:right="936"/>
      </w:pPr>
      <w:r>
        <w:t>С</w:t>
      </w:r>
      <w:r w:rsidR="00AD61AD">
        <w:t>ъбира, оценява и организира постъпването на вътрешна и външна информация в базата от данни по отношение на риска.</w:t>
      </w:r>
    </w:p>
    <w:p w14:paraId="0AF82027" w14:textId="77777777" w:rsidR="00AD61AD" w:rsidRDefault="00AD61AD" w:rsidP="00AD61AD">
      <w:pPr>
        <w:pStyle w:val="BodyText"/>
        <w:spacing w:before="10"/>
        <w:rPr>
          <w:sz w:val="21"/>
        </w:rPr>
      </w:pPr>
    </w:p>
    <w:p w14:paraId="6BF62E7D" w14:textId="6FA77CFE" w:rsidR="00AD61AD" w:rsidRDefault="00AD61AD" w:rsidP="00A00C0D">
      <w:pPr>
        <w:pStyle w:val="BodyText"/>
        <w:ind w:right="915"/>
        <w:jc w:val="both"/>
      </w:pPr>
      <w:r>
        <w:t xml:space="preserve">Чл. </w:t>
      </w:r>
      <w:r w:rsidR="00A00C0D">
        <w:t>6</w:t>
      </w:r>
      <w:r>
        <w:t>. (1) Оперативните звена и служителите, работещи по договор за инвестиционния посредник, имат следните отговорности, свързани с оценка, организация, управление, наблюдение и редуциране на риска в инвестиционния посредник:</w:t>
      </w:r>
    </w:p>
    <w:p w14:paraId="7FE45A44" w14:textId="5BB9CE56" w:rsidR="00AD61AD" w:rsidRDefault="00A00C0D" w:rsidP="00CE3A88">
      <w:pPr>
        <w:pStyle w:val="ListParagraph"/>
        <w:widowControl w:val="0"/>
        <w:numPr>
          <w:ilvl w:val="0"/>
          <w:numId w:val="30"/>
        </w:numPr>
        <w:tabs>
          <w:tab w:val="left" w:pos="1197"/>
        </w:tabs>
        <w:autoSpaceDE w:val="0"/>
        <w:autoSpaceDN w:val="0"/>
        <w:spacing w:line="267" w:lineRule="exact"/>
        <w:ind w:left="855"/>
        <w:contextualSpacing w:val="0"/>
      </w:pPr>
      <w:r>
        <w:t>Брокерите на финансови инструменти</w:t>
      </w:r>
      <w:r w:rsidR="00AD61AD">
        <w:t>:</w:t>
      </w:r>
    </w:p>
    <w:p w14:paraId="66A93704" w14:textId="40B69404" w:rsidR="00AD61AD" w:rsidRDefault="00A00C0D" w:rsidP="00AD61AD">
      <w:pPr>
        <w:pStyle w:val="ListParagraph"/>
        <w:widowControl w:val="0"/>
        <w:numPr>
          <w:ilvl w:val="1"/>
          <w:numId w:val="30"/>
        </w:numPr>
        <w:tabs>
          <w:tab w:val="left" w:pos="1565"/>
        </w:tabs>
        <w:autoSpaceDE w:val="0"/>
        <w:autoSpaceDN w:val="0"/>
        <w:spacing w:before="1"/>
        <w:ind w:left="1576" w:right="912" w:hanging="360"/>
        <w:contextualSpacing w:val="0"/>
        <w:jc w:val="both"/>
      </w:pPr>
      <w:r>
        <w:t>С</w:t>
      </w:r>
      <w:r w:rsidR="00AD61AD">
        <w:t>ледят и контролират извършването на сделки и операции с финансови инструменти, деривативи и приравнените към тях инструменти;</w:t>
      </w:r>
    </w:p>
    <w:p w14:paraId="04B094E2" w14:textId="6ABC3787" w:rsidR="00AD61AD" w:rsidRDefault="0058499D" w:rsidP="00AD61AD">
      <w:pPr>
        <w:pStyle w:val="ListParagraph"/>
        <w:widowControl w:val="0"/>
        <w:numPr>
          <w:ilvl w:val="1"/>
          <w:numId w:val="30"/>
        </w:numPr>
        <w:tabs>
          <w:tab w:val="left" w:pos="1565"/>
        </w:tabs>
        <w:autoSpaceDE w:val="0"/>
        <w:autoSpaceDN w:val="0"/>
        <w:spacing w:line="267" w:lineRule="exact"/>
        <w:ind w:left="1564"/>
        <w:contextualSpacing w:val="0"/>
      </w:pPr>
      <w:r>
        <w:t>к</w:t>
      </w:r>
      <w:r w:rsidR="00AD61AD">
        <w:t>онтролират навременното и правилно завеждане на</w:t>
      </w:r>
      <w:r w:rsidR="00AD61AD">
        <w:rPr>
          <w:spacing w:val="-2"/>
        </w:rPr>
        <w:t xml:space="preserve"> </w:t>
      </w:r>
      <w:r w:rsidR="00AD61AD">
        <w:t>сделките;</w:t>
      </w:r>
    </w:p>
    <w:p w14:paraId="054C6252" w14:textId="2BC9548D" w:rsidR="00AD61AD" w:rsidRDefault="0058499D" w:rsidP="00AD61AD">
      <w:pPr>
        <w:pStyle w:val="ListParagraph"/>
        <w:widowControl w:val="0"/>
        <w:numPr>
          <w:ilvl w:val="1"/>
          <w:numId w:val="30"/>
        </w:numPr>
        <w:tabs>
          <w:tab w:val="left" w:pos="1565"/>
        </w:tabs>
        <w:autoSpaceDE w:val="0"/>
        <w:autoSpaceDN w:val="0"/>
        <w:ind w:left="1576" w:right="912" w:hanging="360"/>
        <w:contextualSpacing w:val="0"/>
        <w:jc w:val="both"/>
      </w:pPr>
      <w:r>
        <w:t>С</w:t>
      </w:r>
      <w:r w:rsidR="00AD61AD">
        <w:t>ледят ежедневно движенията на сключените сделки, откритите клиентски позиции, състояние на клиентските сметки и при необходимост предприемат действия за разрешаване на проблемни</w:t>
      </w:r>
      <w:r w:rsidR="00AD61AD">
        <w:rPr>
          <w:spacing w:val="-1"/>
        </w:rPr>
        <w:t xml:space="preserve"> </w:t>
      </w:r>
      <w:r w:rsidR="00AD61AD">
        <w:t>ситуации;</w:t>
      </w:r>
    </w:p>
    <w:p w14:paraId="5E648A73" w14:textId="2CFD9152" w:rsidR="00AD61AD" w:rsidRDefault="0058499D" w:rsidP="00AD61AD">
      <w:pPr>
        <w:pStyle w:val="ListParagraph"/>
        <w:widowControl w:val="0"/>
        <w:numPr>
          <w:ilvl w:val="1"/>
          <w:numId w:val="30"/>
        </w:numPr>
        <w:tabs>
          <w:tab w:val="left" w:pos="1565"/>
        </w:tabs>
        <w:autoSpaceDE w:val="0"/>
        <w:autoSpaceDN w:val="0"/>
        <w:spacing w:before="1"/>
        <w:ind w:left="1576" w:right="913" w:hanging="360"/>
        <w:contextualSpacing w:val="0"/>
        <w:jc w:val="both"/>
      </w:pPr>
      <w:r>
        <w:t>С</w:t>
      </w:r>
      <w:r w:rsidR="00AD61AD">
        <w:t>ледят ежедневно ефективността на сделките, водещи до формиране на открити позиции, наблюдават и оценяват ликвидността</w:t>
      </w:r>
      <w:r w:rsidR="00AD61AD">
        <w:rPr>
          <w:spacing w:val="-4"/>
        </w:rPr>
        <w:t xml:space="preserve"> </w:t>
      </w:r>
      <w:r w:rsidR="00AD61AD">
        <w:t>им;</w:t>
      </w:r>
    </w:p>
    <w:p w14:paraId="05661023" w14:textId="6F956B34" w:rsidR="00AD61AD" w:rsidRDefault="0058499D" w:rsidP="0058499D">
      <w:pPr>
        <w:pStyle w:val="ListParagraph"/>
        <w:widowControl w:val="0"/>
        <w:numPr>
          <w:ilvl w:val="1"/>
          <w:numId w:val="30"/>
        </w:numPr>
        <w:tabs>
          <w:tab w:val="left" w:pos="1564"/>
        </w:tabs>
        <w:autoSpaceDE w:val="0"/>
        <w:autoSpaceDN w:val="0"/>
        <w:spacing w:before="1"/>
        <w:ind w:left="1575" w:right="913" w:hanging="360"/>
        <w:contextualSpacing w:val="0"/>
        <w:jc w:val="both"/>
      </w:pPr>
      <w:r>
        <w:t>С</w:t>
      </w:r>
      <w:r w:rsidR="00AD61AD">
        <w:t>ледят за спазването на пределно допустимите нива по основните видове риск, както и на нормативно установените лимити относно инвестициите на инвестиционния посредник.</w:t>
      </w:r>
    </w:p>
    <w:p w14:paraId="3785C6C3" w14:textId="68B67400" w:rsidR="00AD61AD" w:rsidRDefault="0058499D" w:rsidP="00AD61AD">
      <w:pPr>
        <w:pStyle w:val="ListParagraph"/>
        <w:widowControl w:val="0"/>
        <w:numPr>
          <w:ilvl w:val="1"/>
          <w:numId w:val="30"/>
        </w:numPr>
        <w:tabs>
          <w:tab w:val="left" w:pos="1564"/>
        </w:tabs>
        <w:autoSpaceDE w:val="0"/>
        <w:autoSpaceDN w:val="0"/>
        <w:ind w:left="1575" w:right="914" w:hanging="360"/>
        <w:contextualSpacing w:val="0"/>
        <w:jc w:val="both"/>
      </w:pPr>
      <w:r>
        <w:t>о</w:t>
      </w:r>
      <w:r w:rsidR="00AD61AD">
        <w:t>бслужват клиенти, предоставят котировки, информация за пазара, наличности по сметките на клиентите или друга информация, изискана от клиента, непредставляваща инвестиционна консултация и/или</w:t>
      </w:r>
      <w:r w:rsidR="00AD61AD">
        <w:rPr>
          <w:spacing w:val="-4"/>
        </w:rPr>
        <w:t xml:space="preserve"> </w:t>
      </w:r>
      <w:r w:rsidR="00AD61AD">
        <w:t>препоръка;</w:t>
      </w:r>
    </w:p>
    <w:p w14:paraId="2226FB96" w14:textId="4F462384" w:rsidR="00AD61AD" w:rsidRDefault="0058499D" w:rsidP="00AD61AD">
      <w:pPr>
        <w:pStyle w:val="ListParagraph"/>
        <w:widowControl w:val="0"/>
        <w:numPr>
          <w:ilvl w:val="1"/>
          <w:numId w:val="30"/>
        </w:numPr>
        <w:tabs>
          <w:tab w:val="left" w:pos="1564"/>
        </w:tabs>
        <w:autoSpaceDE w:val="0"/>
        <w:autoSpaceDN w:val="0"/>
        <w:ind w:left="1575" w:right="914" w:hanging="360"/>
        <w:contextualSpacing w:val="0"/>
        <w:jc w:val="both"/>
      </w:pPr>
      <w:r>
        <w:t>В</w:t>
      </w:r>
      <w:r w:rsidR="00AD61AD">
        <w:t>ъвеждат информация за всяка сключена сделка, като незабавно я регистрират в информационно-счетоводната система на инвестиционния посредник и изготвят необходимата документация за</w:t>
      </w:r>
      <w:r w:rsidR="00AD61AD">
        <w:rPr>
          <w:spacing w:val="-1"/>
        </w:rPr>
        <w:t xml:space="preserve"> </w:t>
      </w:r>
      <w:r w:rsidR="00AD61AD">
        <w:t>нея;</w:t>
      </w:r>
    </w:p>
    <w:p w14:paraId="4C8E6DAD" w14:textId="72A020B9" w:rsidR="00AD61AD" w:rsidRDefault="0058499D" w:rsidP="00AD61AD">
      <w:pPr>
        <w:pStyle w:val="ListParagraph"/>
        <w:widowControl w:val="0"/>
        <w:numPr>
          <w:ilvl w:val="1"/>
          <w:numId w:val="30"/>
        </w:numPr>
        <w:tabs>
          <w:tab w:val="left" w:pos="1564"/>
        </w:tabs>
        <w:autoSpaceDE w:val="0"/>
        <w:autoSpaceDN w:val="0"/>
        <w:ind w:left="1575" w:right="915" w:hanging="360"/>
        <w:contextualSpacing w:val="0"/>
        <w:jc w:val="both"/>
      </w:pPr>
      <w:r>
        <w:t>У</w:t>
      </w:r>
      <w:r w:rsidR="00AD61AD">
        <w:t>ведомяват незабавно, при възникване на проблемни обстоятелства в отношенията с клиентите съответн</w:t>
      </w:r>
      <w:r>
        <w:t>ото звено, на което са подчинени</w:t>
      </w:r>
      <w:r w:rsidR="00AD61AD">
        <w:t>;</w:t>
      </w:r>
    </w:p>
    <w:p w14:paraId="0F126AEE" w14:textId="621CF456" w:rsidR="00AD61AD" w:rsidRDefault="0058499D" w:rsidP="00AD61AD">
      <w:pPr>
        <w:pStyle w:val="ListParagraph"/>
        <w:widowControl w:val="0"/>
        <w:numPr>
          <w:ilvl w:val="1"/>
          <w:numId w:val="30"/>
        </w:numPr>
        <w:tabs>
          <w:tab w:val="left" w:pos="1564"/>
        </w:tabs>
        <w:autoSpaceDE w:val="0"/>
        <w:autoSpaceDN w:val="0"/>
        <w:ind w:left="1575" w:right="914" w:hanging="360"/>
        <w:contextualSpacing w:val="0"/>
        <w:jc w:val="both"/>
      </w:pPr>
      <w:r>
        <w:t>С</w:t>
      </w:r>
      <w:r w:rsidR="00AD61AD">
        <w:t>ледят ежедневно пазарните движения, сключените сделки, открити клиентски позиции, активни ордери и всяка друга информация, която е свързана с текущата им деност и</w:t>
      </w:r>
      <w:r w:rsidR="00AD61AD">
        <w:rPr>
          <w:spacing w:val="-6"/>
        </w:rPr>
        <w:t xml:space="preserve"> </w:t>
      </w:r>
      <w:r w:rsidR="00AD61AD">
        <w:t>задължения.</w:t>
      </w:r>
    </w:p>
    <w:p w14:paraId="509CE136" w14:textId="3DC10CFC" w:rsidR="00AD61AD" w:rsidRDefault="0058499D" w:rsidP="00AD61AD">
      <w:pPr>
        <w:pStyle w:val="ListParagraph"/>
        <w:widowControl w:val="0"/>
        <w:numPr>
          <w:ilvl w:val="1"/>
          <w:numId w:val="30"/>
        </w:numPr>
        <w:tabs>
          <w:tab w:val="left" w:pos="1564"/>
        </w:tabs>
        <w:autoSpaceDE w:val="0"/>
        <w:autoSpaceDN w:val="0"/>
        <w:contextualSpacing w:val="0"/>
      </w:pPr>
      <w:r>
        <w:lastRenderedPageBreak/>
        <w:t>П</w:t>
      </w:r>
      <w:r w:rsidR="00AD61AD">
        <w:t>риемат поръчки от клиенти за сделки с финансови</w:t>
      </w:r>
      <w:r w:rsidR="00AD61AD">
        <w:rPr>
          <w:spacing w:val="-5"/>
        </w:rPr>
        <w:t xml:space="preserve"> </w:t>
      </w:r>
      <w:r w:rsidR="00AD61AD">
        <w:t>инструменти;</w:t>
      </w:r>
    </w:p>
    <w:p w14:paraId="2D78A9AA" w14:textId="6DEF0DA5" w:rsidR="00AD61AD" w:rsidRDefault="0058499D" w:rsidP="00AD61AD">
      <w:pPr>
        <w:pStyle w:val="ListParagraph"/>
        <w:widowControl w:val="0"/>
        <w:numPr>
          <w:ilvl w:val="1"/>
          <w:numId w:val="30"/>
        </w:numPr>
        <w:tabs>
          <w:tab w:val="left" w:pos="1564"/>
        </w:tabs>
        <w:autoSpaceDE w:val="0"/>
        <w:autoSpaceDN w:val="0"/>
        <w:spacing w:line="237" w:lineRule="auto"/>
        <w:ind w:left="1575" w:right="913" w:hanging="360"/>
        <w:contextualSpacing w:val="0"/>
        <w:jc w:val="both"/>
      </w:pPr>
      <w:r>
        <w:t>С</w:t>
      </w:r>
      <w:r w:rsidR="00AD61AD">
        <w:t xml:space="preserve">ледят за избягване на потенциални конфликти на интереси, а при възникване на такива, уведомяват </w:t>
      </w:r>
      <w:r>
        <w:t>съответното звено, на което са подчинени;</w:t>
      </w:r>
    </w:p>
    <w:p w14:paraId="03126EBD" w14:textId="7C3ECD6D" w:rsidR="00AD61AD" w:rsidRDefault="0058499D" w:rsidP="00AD61AD">
      <w:pPr>
        <w:pStyle w:val="ListParagraph"/>
        <w:widowControl w:val="0"/>
        <w:numPr>
          <w:ilvl w:val="1"/>
          <w:numId w:val="30"/>
        </w:numPr>
        <w:tabs>
          <w:tab w:val="left" w:pos="1563"/>
        </w:tabs>
        <w:autoSpaceDE w:val="0"/>
        <w:autoSpaceDN w:val="0"/>
        <w:ind w:left="1574" w:right="914" w:hanging="360"/>
        <w:contextualSpacing w:val="0"/>
        <w:jc w:val="both"/>
      </w:pPr>
      <w:r>
        <w:t>О</w:t>
      </w:r>
      <w:r w:rsidR="00AD61AD">
        <w:t>тговорност за достоверността, пълнотата и своевременното предаване на първичната информация за сключените сделки с финансови инструменти, която след съответната обработка достига в Комитета по</w:t>
      </w:r>
      <w:r w:rsidR="00AD61AD">
        <w:rPr>
          <w:spacing w:val="-9"/>
        </w:rPr>
        <w:t xml:space="preserve"> </w:t>
      </w:r>
      <w:r w:rsidR="00AD61AD">
        <w:t>риска.</w:t>
      </w:r>
    </w:p>
    <w:p w14:paraId="752EFEE8" w14:textId="30EA7F0E" w:rsidR="00AD61AD" w:rsidRDefault="0058499D" w:rsidP="00AD61AD">
      <w:pPr>
        <w:pStyle w:val="ListParagraph"/>
        <w:widowControl w:val="0"/>
        <w:numPr>
          <w:ilvl w:val="0"/>
          <w:numId w:val="30"/>
        </w:numPr>
        <w:tabs>
          <w:tab w:val="left" w:pos="1153"/>
        </w:tabs>
        <w:autoSpaceDE w:val="0"/>
        <w:autoSpaceDN w:val="0"/>
        <w:spacing w:before="1"/>
        <w:ind w:left="1152" w:hanging="298"/>
        <w:contextualSpacing w:val="0"/>
      </w:pPr>
      <w:r>
        <w:t>Отдел</w:t>
      </w:r>
      <w:r w:rsidR="00AD61AD">
        <w:t xml:space="preserve"> „</w:t>
      </w:r>
      <w:r>
        <w:t>С</w:t>
      </w:r>
      <w:r w:rsidR="00AD61AD">
        <w:t>четоводство“:</w:t>
      </w:r>
    </w:p>
    <w:p w14:paraId="26F5F79B" w14:textId="77777777" w:rsidR="00AD61AD" w:rsidRDefault="00AD61AD" w:rsidP="00AD61AD">
      <w:pPr>
        <w:pStyle w:val="ListParagraph"/>
        <w:widowControl w:val="0"/>
        <w:numPr>
          <w:ilvl w:val="1"/>
          <w:numId w:val="30"/>
        </w:numPr>
        <w:tabs>
          <w:tab w:val="left" w:pos="1563"/>
        </w:tabs>
        <w:autoSpaceDE w:val="0"/>
        <w:autoSpaceDN w:val="0"/>
        <w:ind w:left="1574" w:right="914" w:hanging="360"/>
        <w:contextualSpacing w:val="0"/>
        <w:jc w:val="both"/>
      </w:pPr>
      <w:r>
        <w:t>отговаря за вярното, точно и законосъобразно представяне на резултатите от дейността на инвестиционния посредник;</w:t>
      </w:r>
    </w:p>
    <w:p w14:paraId="4528C050" w14:textId="7AA47D0C" w:rsidR="00AD61AD" w:rsidRDefault="0058499D" w:rsidP="00AD61AD">
      <w:pPr>
        <w:pStyle w:val="ListParagraph"/>
        <w:widowControl w:val="0"/>
        <w:numPr>
          <w:ilvl w:val="1"/>
          <w:numId w:val="30"/>
        </w:numPr>
        <w:tabs>
          <w:tab w:val="left" w:pos="1563"/>
        </w:tabs>
        <w:autoSpaceDE w:val="0"/>
        <w:autoSpaceDN w:val="0"/>
        <w:ind w:left="1574" w:right="914" w:hanging="360"/>
        <w:contextualSpacing w:val="0"/>
        <w:jc w:val="both"/>
      </w:pPr>
      <w:r>
        <w:t>И</w:t>
      </w:r>
      <w:r w:rsidR="00AD61AD">
        <w:t>зготвя и представя на КФН справките, изискуеми по  Наредба № 50, Регламент (ЕС) 2019/2033 и Регламент 575/2013, и отговаря за верността и истинността на данните в</w:t>
      </w:r>
      <w:r w:rsidR="00AD61AD">
        <w:rPr>
          <w:spacing w:val="-4"/>
        </w:rPr>
        <w:t xml:space="preserve"> </w:t>
      </w:r>
      <w:r w:rsidR="00AD61AD">
        <w:t>тях;</w:t>
      </w:r>
    </w:p>
    <w:p w14:paraId="47669015" w14:textId="1FDDAB33" w:rsidR="00AD61AD" w:rsidRDefault="0058499D" w:rsidP="00AD61AD">
      <w:pPr>
        <w:pStyle w:val="ListParagraph"/>
        <w:widowControl w:val="0"/>
        <w:numPr>
          <w:ilvl w:val="1"/>
          <w:numId w:val="30"/>
        </w:numPr>
        <w:tabs>
          <w:tab w:val="left" w:pos="1563"/>
        </w:tabs>
        <w:autoSpaceDE w:val="0"/>
        <w:autoSpaceDN w:val="0"/>
        <w:ind w:left="1574" w:right="915" w:hanging="360"/>
        <w:contextualSpacing w:val="0"/>
        <w:jc w:val="both"/>
      </w:pPr>
      <w:r>
        <w:t>С</w:t>
      </w:r>
      <w:r w:rsidR="00AD61AD">
        <w:t>леди и отговаря за спазването на нормативно установените лимити в Наредба № 50, Регламент (ЕС) 2019/2033 и Регламент</w:t>
      </w:r>
      <w:r w:rsidR="00AD61AD">
        <w:rPr>
          <w:spacing w:val="-12"/>
        </w:rPr>
        <w:t xml:space="preserve"> </w:t>
      </w:r>
      <w:r w:rsidR="00AD61AD">
        <w:t>575/2013;</w:t>
      </w:r>
    </w:p>
    <w:p w14:paraId="695723A8" w14:textId="3B492AD1" w:rsidR="00AD61AD" w:rsidRDefault="0058499D" w:rsidP="00EF1BC7">
      <w:pPr>
        <w:pStyle w:val="ListParagraph"/>
        <w:widowControl w:val="0"/>
        <w:numPr>
          <w:ilvl w:val="1"/>
          <w:numId w:val="30"/>
        </w:numPr>
        <w:tabs>
          <w:tab w:val="left" w:pos="1563"/>
        </w:tabs>
        <w:autoSpaceDE w:val="0"/>
        <w:autoSpaceDN w:val="0"/>
        <w:spacing w:before="38"/>
        <w:ind w:left="1574" w:right="913" w:hanging="360"/>
        <w:contextualSpacing w:val="0"/>
        <w:jc w:val="both"/>
      </w:pPr>
      <w:r>
        <w:t>С</w:t>
      </w:r>
      <w:r w:rsidR="00AD61AD">
        <w:t>леди и отговаря за изпълнение на капиталовите изисквания за покриване на рисковете, свързани с дейността на инвестиционния посредник, като поддържа</w:t>
      </w:r>
      <w:r w:rsidR="00AD61AD" w:rsidRPr="00B52EF7">
        <w:rPr>
          <w:spacing w:val="41"/>
        </w:rPr>
        <w:t xml:space="preserve"> </w:t>
      </w:r>
      <w:r w:rsidR="00AD61AD">
        <w:t>по</w:t>
      </w:r>
      <w:r w:rsidR="00AD61AD" w:rsidRPr="00B52EF7">
        <w:rPr>
          <w:spacing w:val="43"/>
        </w:rPr>
        <w:t xml:space="preserve"> </w:t>
      </w:r>
      <w:r w:rsidR="00AD61AD">
        <w:t>всяко</w:t>
      </w:r>
      <w:r w:rsidR="00AD61AD" w:rsidRPr="00B52EF7">
        <w:rPr>
          <w:spacing w:val="44"/>
        </w:rPr>
        <w:t xml:space="preserve"> </w:t>
      </w:r>
      <w:r w:rsidR="00AD61AD">
        <w:t>време</w:t>
      </w:r>
      <w:r w:rsidR="00AD61AD" w:rsidRPr="00B52EF7">
        <w:rPr>
          <w:spacing w:val="42"/>
        </w:rPr>
        <w:t xml:space="preserve"> </w:t>
      </w:r>
      <w:r w:rsidR="00AD61AD">
        <w:t>собствен</w:t>
      </w:r>
      <w:r w:rsidR="00AD61AD" w:rsidRPr="00B52EF7">
        <w:rPr>
          <w:spacing w:val="41"/>
        </w:rPr>
        <w:t xml:space="preserve"> </w:t>
      </w:r>
      <w:r w:rsidR="00AD61AD">
        <w:t>капитал,</w:t>
      </w:r>
      <w:r w:rsidR="00AD61AD" w:rsidRPr="00B52EF7">
        <w:rPr>
          <w:spacing w:val="43"/>
        </w:rPr>
        <w:t xml:space="preserve"> </w:t>
      </w:r>
      <w:r w:rsidR="00AD61AD">
        <w:t>вътрешен</w:t>
      </w:r>
      <w:r w:rsidR="00AD61AD" w:rsidRPr="00B52EF7">
        <w:rPr>
          <w:spacing w:val="41"/>
        </w:rPr>
        <w:t xml:space="preserve"> </w:t>
      </w:r>
      <w:r w:rsidR="00AD61AD">
        <w:t>капитал,</w:t>
      </w:r>
      <w:r w:rsidR="00AD61AD" w:rsidRPr="00B52EF7">
        <w:rPr>
          <w:spacing w:val="43"/>
        </w:rPr>
        <w:t xml:space="preserve"> </w:t>
      </w:r>
      <w:r w:rsidR="00AD61AD">
        <w:t>парични</w:t>
      </w:r>
      <w:r w:rsidR="00AD61AD" w:rsidRPr="00B52EF7">
        <w:rPr>
          <w:spacing w:val="42"/>
        </w:rPr>
        <w:t xml:space="preserve"> </w:t>
      </w:r>
      <w:r w:rsidR="00AD61AD">
        <w:t>средства</w:t>
      </w:r>
      <w:r w:rsidR="00AD61AD" w:rsidRPr="00B52EF7">
        <w:rPr>
          <w:spacing w:val="39"/>
        </w:rPr>
        <w:t xml:space="preserve"> </w:t>
      </w:r>
      <w:r w:rsidR="00AD61AD">
        <w:t>и</w:t>
      </w:r>
      <w:r w:rsidR="00B52EF7">
        <w:t xml:space="preserve"> </w:t>
      </w:r>
      <w:r w:rsidR="00AD61AD">
        <w:t>други активи съгласно изискванията на Наредба № 50, Регламент (ЕС) 2019/2033 и Регламент 575/2013;</w:t>
      </w:r>
    </w:p>
    <w:p w14:paraId="4EFFE3B5" w14:textId="331CD9B1" w:rsidR="00AD61AD" w:rsidRDefault="0058499D" w:rsidP="00AD61AD">
      <w:pPr>
        <w:pStyle w:val="ListParagraph"/>
        <w:widowControl w:val="0"/>
        <w:numPr>
          <w:ilvl w:val="1"/>
          <w:numId w:val="30"/>
        </w:numPr>
        <w:tabs>
          <w:tab w:val="left" w:pos="1565"/>
        </w:tabs>
        <w:autoSpaceDE w:val="0"/>
        <w:autoSpaceDN w:val="0"/>
        <w:spacing w:before="1"/>
        <w:ind w:left="1576" w:right="915" w:hanging="360"/>
        <w:contextualSpacing w:val="0"/>
        <w:jc w:val="both"/>
      </w:pPr>
      <w:r>
        <w:t>К</w:t>
      </w:r>
      <w:r w:rsidR="00AD61AD">
        <w:t xml:space="preserve">ласифицира експозициите на </w:t>
      </w:r>
      <w:r>
        <w:t>ИП</w:t>
      </w:r>
      <w:r w:rsidR="00AD61AD">
        <w:t xml:space="preserve"> съгласно Наредба № 50, Регламент (ЕС) 2019/2033 и Регламент 575/2013, посредством информационно-счетоводната система.</w:t>
      </w:r>
    </w:p>
    <w:p w14:paraId="49CF8460" w14:textId="77777777" w:rsidR="00AD61AD" w:rsidRDefault="00AD61AD" w:rsidP="00AD61AD">
      <w:pPr>
        <w:pStyle w:val="ListParagraph"/>
        <w:widowControl w:val="0"/>
        <w:numPr>
          <w:ilvl w:val="1"/>
          <w:numId w:val="30"/>
        </w:numPr>
        <w:tabs>
          <w:tab w:val="left" w:pos="1564"/>
        </w:tabs>
        <w:autoSpaceDE w:val="0"/>
        <w:autoSpaceDN w:val="0"/>
        <w:ind w:left="1576" w:right="917" w:hanging="360"/>
        <w:contextualSpacing w:val="0"/>
        <w:jc w:val="both"/>
      </w:pPr>
      <w:r>
        <w:t xml:space="preserve">Уведомява изпълнителните директори за извършване на дължимите уведомления </w:t>
      </w:r>
      <w:r>
        <w:rPr>
          <w:spacing w:val="-4"/>
        </w:rPr>
        <w:t xml:space="preserve">до </w:t>
      </w:r>
      <w:r>
        <w:t>КФН, когато е налице някое от следните</w:t>
      </w:r>
      <w:r>
        <w:rPr>
          <w:spacing w:val="-6"/>
        </w:rPr>
        <w:t xml:space="preserve"> </w:t>
      </w:r>
      <w:r>
        <w:t>обстоятелства:</w:t>
      </w:r>
    </w:p>
    <w:p w14:paraId="21D95F5B" w14:textId="1B2FFC52" w:rsidR="00AD61AD" w:rsidRPr="006C455A" w:rsidRDefault="00AD61AD" w:rsidP="006C455A">
      <w:pPr>
        <w:pStyle w:val="BodyText"/>
        <w:ind w:left="1576" w:right="992"/>
        <w:jc w:val="both"/>
        <w:rPr>
          <w:rFonts w:asciiTheme="minorHAnsi" w:hAnsiTheme="minorHAnsi" w:cstheme="minorHAnsi"/>
          <w:sz w:val="22"/>
          <w:szCs w:val="22"/>
        </w:rPr>
      </w:pPr>
      <w:r w:rsidRPr="006C455A">
        <w:rPr>
          <w:rFonts w:asciiTheme="minorHAnsi" w:hAnsiTheme="minorHAnsi" w:cstheme="minorHAnsi"/>
          <w:sz w:val="22"/>
          <w:szCs w:val="22"/>
        </w:rPr>
        <w:t xml:space="preserve">а) </w:t>
      </w:r>
      <w:r w:rsidR="0058499D" w:rsidRPr="006C455A">
        <w:rPr>
          <w:rFonts w:asciiTheme="minorHAnsi" w:hAnsiTheme="minorHAnsi" w:cstheme="minorHAnsi"/>
          <w:sz w:val="22"/>
          <w:szCs w:val="22"/>
        </w:rPr>
        <w:t>И</w:t>
      </w:r>
      <w:r w:rsidRPr="006C455A">
        <w:rPr>
          <w:rFonts w:asciiTheme="minorHAnsi" w:hAnsiTheme="minorHAnsi" w:cstheme="minorHAnsi"/>
          <w:sz w:val="22"/>
          <w:szCs w:val="22"/>
        </w:rPr>
        <w:t>нвестиционният посредник не отговаря и не е в състояние в 3-дневен срок да приведе собствения си капитал в съответствие с изискванията за капиталова адекватност по Наредба № 50, Регламент (ЕС) 2019/2033 и Регламент 575/2013;</w:t>
      </w:r>
    </w:p>
    <w:p w14:paraId="2B2BE41A" w14:textId="7728D95F" w:rsidR="00AD61AD" w:rsidRDefault="0058499D" w:rsidP="00AD61AD">
      <w:pPr>
        <w:pStyle w:val="ListParagraph"/>
        <w:widowControl w:val="0"/>
        <w:numPr>
          <w:ilvl w:val="1"/>
          <w:numId w:val="30"/>
        </w:numPr>
        <w:tabs>
          <w:tab w:val="left" w:pos="1564"/>
        </w:tabs>
        <w:autoSpaceDE w:val="0"/>
        <w:autoSpaceDN w:val="0"/>
        <w:spacing w:before="2" w:line="237" w:lineRule="auto"/>
        <w:ind w:left="1576" w:right="913" w:hanging="360"/>
        <w:contextualSpacing w:val="0"/>
        <w:jc w:val="both"/>
      </w:pPr>
      <w:r>
        <w:t>О</w:t>
      </w:r>
      <w:r w:rsidR="00AD61AD">
        <w:t>сигурява достоверна счетоводна отчетност на основата на първична документация, спазвайки принципите на документална обоснованост и</w:t>
      </w:r>
      <w:r w:rsidR="00AD61AD">
        <w:rPr>
          <w:spacing w:val="-8"/>
        </w:rPr>
        <w:t xml:space="preserve"> </w:t>
      </w:r>
      <w:r w:rsidR="00AD61AD">
        <w:t>надеждност;</w:t>
      </w:r>
    </w:p>
    <w:p w14:paraId="4DDA7C35" w14:textId="1B81BF25" w:rsidR="00AD61AD" w:rsidRDefault="0058499D" w:rsidP="00AD61AD">
      <w:pPr>
        <w:pStyle w:val="ListParagraph"/>
        <w:widowControl w:val="0"/>
        <w:numPr>
          <w:ilvl w:val="1"/>
          <w:numId w:val="30"/>
        </w:numPr>
        <w:tabs>
          <w:tab w:val="left" w:pos="1565"/>
        </w:tabs>
        <w:autoSpaceDE w:val="0"/>
        <w:autoSpaceDN w:val="0"/>
        <w:spacing w:before="2"/>
        <w:ind w:left="1576" w:right="913" w:hanging="360"/>
        <w:contextualSpacing w:val="0"/>
        <w:jc w:val="both"/>
      </w:pPr>
      <w:r>
        <w:t>о</w:t>
      </w:r>
      <w:r w:rsidR="00AD61AD">
        <w:t>сигурява и следи за спазването на нормативните актове, касаещи счетоводната отчетност;</w:t>
      </w:r>
    </w:p>
    <w:p w14:paraId="51DBD106" w14:textId="0E0296B7" w:rsidR="00AD61AD" w:rsidRDefault="0058499D" w:rsidP="00AD61AD">
      <w:pPr>
        <w:pStyle w:val="ListParagraph"/>
        <w:widowControl w:val="0"/>
        <w:numPr>
          <w:ilvl w:val="1"/>
          <w:numId w:val="30"/>
        </w:numPr>
        <w:tabs>
          <w:tab w:val="left" w:pos="1564"/>
        </w:tabs>
        <w:autoSpaceDE w:val="0"/>
        <w:autoSpaceDN w:val="0"/>
        <w:ind w:left="1576" w:right="912" w:hanging="360"/>
        <w:contextualSpacing w:val="0"/>
        <w:jc w:val="both"/>
      </w:pPr>
      <w:r>
        <w:t>К</w:t>
      </w:r>
      <w:r w:rsidR="00AD61AD">
        <w:t>онтролира и отговаря за съблюдаването на установените правила за оформяне на документите, свързани с движението на финансови средства, материални ценности, разчетни взаимоотношения и други;</w:t>
      </w:r>
    </w:p>
    <w:p w14:paraId="78EEAFDD" w14:textId="3E41A767" w:rsidR="00AD61AD" w:rsidRDefault="0058499D" w:rsidP="00AD61AD">
      <w:pPr>
        <w:pStyle w:val="ListParagraph"/>
        <w:widowControl w:val="0"/>
        <w:numPr>
          <w:ilvl w:val="1"/>
          <w:numId w:val="30"/>
        </w:numPr>
        <w:tabs>
          <w:tab w:val="left" w:pos="1565"/>
        </w:tabs>
        <w:autoSpaceDE w:val="0"/>
        <w:autoSpaceDN w:val="0"/>
        <w:spacing w:before="1"/>
        <w:ind w:left="1576" w:right="914" w:hanging="360"/>
        <w:contextualSpacing w:val="0"/>
        <w:jc w:val="both"/>
      </w:pPr>
      <w:r>
        <w:t>С</w:t>
      </w:r>
      <w:r w:rsidR="00AD61AD">
        <w:t xml:space="preserve"> цел точно отразяване на данните от извършваните от инвестиционния посредник операции и сделки предлага за утвърждаване на промени или разработва нови счетоводни правила.</w:t>
      </w:r>
    </w:p>
    <w:p w14:paraId="77DDA592" w14:textId="07AFE934" w:rsidR="00AD61AD" w:rsidRDefault="00AD61AD" w:rsidP="00AD61AD">
      <w:pPr>
        <w:pStyle w:val="ListParagraph"/>
        <w:widowControl w:val="0"/>
        <w:numPr>
          <w:ilvl w:val="0"/>
          <w:numId w:val="30"/>
        </w:numPr>
        <w:tabs>
          <w:tab w:val="left" w:pos="1154"/>
        </w:tabs>
        <w:autoSpaceDE w:val="0"/>
        <w:autoSpaceDN w:val="0"/>
        <w:spacing w:line="268" w:lineRule="exact"/>
        <w:ind w:left="1153" w:hanging="297"/>
        <w:contextualSpacing w:val="0"/>
      </w:pPr>
      <w:r>
        <w:t xml:space="preserve">Служителите, работещи в </w:t>
      </w:r>
      <w:r w:rsidR="0058499D">
        <w:t>отдел</w:t>
      </w:r>
      <w:r>
        <w:t xml:space="preserve"> ”</w:t>
      </w:r>
      <w:r w:rsidR="0058499D">
        <w:t>С</w:t>
      </w:r>
      <w:r>
        <w:t>четоводство“:</w:t>
      </w:r>
    </w:p>
    <w:p w14:paraId="0D25CEA6" w14:textId="77777777" w:rsidR="00AD61AD" w:rsidRDefault="00AD61AD" w:rsidP="00AD61AD">
      <w:pPr>
        <w:pStyle w:val="ListParagraph"/>
        <w:widowControl w:val="0"/>
        <w:numPr>
          <w:ilvl w:val="1"/>
          <w:numId w:val="30"/>
        </w:numPr>
        <w:tabs>
          <w:tab w:val="left" w:pos="1565"/>
        </w:tabs>
        <w:autoSpaceDE w:val="0"/>
        <w:autoSpaceDN w:val="0"/>
        <w:spacing w:line="268" w:lineRule="exact"/>
        <w:ind w:left="1564"/>
        <w:contextualSpacing w:val="0"/>
      </w:pPr>
      <w:r>
        <w:t>осигуряват достоверна счетоводна отчетност на основата на първична</w:t>
      </w:r>
      <w:r>
        <w:rPr>
          <w:spacing w:val="-12"/>
        </w:rPr>
        <w:t xml:space="preserve"> </w:t>
      </w:r>
      <w:r>
        <w:t>документация;</w:t>
      </w:r>
    </w:p>
    <w:p w14:paraId="7E756C79" w14:textId="058298EE" w:rsidR="00AD61AD" w:rsidRDefault="00AD61AD" w:rsidP="00AD61AD">
      <w:pPr>
        <w:pStyle w:val="ListParagraph"/>
        <w:widowControl w:val="0"/>
        <w:numPr>
          <w:ilvl w:val="1"/>
          <w:numId w:val="30"/>
        </w:numPr>
        <w:tabs>
          <w:tab w:val="left" w:pos="1564"/>
        </w:tabs>
        <w:autoSpaceDE w:val="0"/>
        <w:autoSpaceDN w:val="0"/>
        <w:ind w:left="1575" w:right="913" w:hanging="359"/>
        <w:contextualSpacing w:val="0"/>
        <w:jc w:val="both"/>
      </w:pPr>
      <w:r>
        <w:t>отговарят за правилното осчетоводяване на сключените през деня сделки с финансови инструменти на вътрешните и международните пазари за сметка на клиенти</w:t>
      </w:r>
      <w:r w:rsidR="0058499D">
        <w:t>те на ИП</w:t>
      </w:r>
      <w:r>
        <w:t>;</w:t>
      </w:r>
    </w:p>
    <w:p w14:paraId="79CF6AAB" w14:textId="66F0F471" w:rsidR="00AD61AD" w:rsidRDefault="00AD61AD" w:rsidP="00AD61AD">
      <w:pPr>
        <w:pStyle w:val="ListParagraph"/>
        <w:widowControl w:val="0"/>
        <w:numPr>
          <w:ilvl w:val="1"/>
          <w:numId w:val="30"/>
        </w:numPr>
        <w:tabs>
          <w:tab w:val="left" w:pos="1564"/>
        </w:tabs>
        <w:autoSpaceDE w:val="0"/>
        <w:autoSpaceDN w:val="0"/>
        <w:spacing w:before="1"/>
        <w:contextualSpacing w:val="0"/>
      </w:pPr>
      <w:r>
        <w:t>следят откритите позиции на клиенти</w:t>
      </w:r>
      <w:r w:rsidR="0043466A">
        <w:t>те на ИП</w:t>
      </w:r>
      <w:r>
        <w:t>;</w:t>
      </w:r>
    </w:p>
    <w:p w14:paraId="253C271F" w14:textId="77777777" w:rsidR="00AD61AD" w:rsidRDefault="00AD61AD" w:rsidP="00AD61AD">
      <w:pPr>
        <w:pStyle w:val="ListParagraph"/>
        <w:widowControl w:val="0"/>
        <w:numPr>
          <w:ilvl w:val="1"/>
          <w:numId w:val="30"/>
        </w:numPr>
        <w:tabs>
          <w:tab w:val="left" w:pos="1564"/>
        </w:tabs>
        <w:autoSpaceDE w:val="0"/>
        <w:autoSpaceDN w:val="0"/>
        <w:ind w:left="1575" w:right="913" w:hanging="360"/>
        <w:contextualSpacing w:val="0"/>
        <w:jc w:val="both"/>
      </w:pPr>
      <w:r>
        <w:t xml:space="preserve">водят сметките на дружеството, като отразяват счетоводно активите и </w:t>
      </w:r>
      <w:r>
        <w:lastRenderedPageBreak/>
        <w:t xml:space="preserve">пасивите, промените в тях и т.н., както и състоянието на активите на клиентите, включително отразяват ежедневно операциите с финансови инструменти в счетоводството на дружеството и следят оборота на паричните средства, като ги отнасят по сметки </w:t>
      </w:r>
      <w:r>
        <w:rPr>
          <w:spacing w:val="-3"/>
        </w:rPr>
        <w:t xml:space="preserve">на </w:t>
      </w:r>
      <w:r>
        <w:t>инвестиционния посредник и по подсметки на клиенти, в съответствие с извършените операции;</w:t>
      </w:r>
    </w:p>
    <w:p w14:paraId="0FB593A0" w14:textId="77777777" w:rsidR="00AD61AD" w:rsidRDefault="00AD61AD" w:rsidP="00AD61AD">
      <w:pPr>
        <w:pStyle w:val="ListParagraph"/>
        <w:widowControl w:val="0"/>
        <w:numPr>
          <w:ilvl w:val="1"/>
          <w:numId w:val="30"/>
        </w:numPr>
        <w:tabs>
          <w:tab w:val="left" w:pos="1564"/>
        </w:tabs>
        <w:autoSpaceDE w:val="0"/>
        <w:autoSpaceDN w:val="0"/>
        <w:ind w:left="1575" w:right="914" w:hanging="360"/>
        <w:contextualSpacing w:val="0"/>
        <w:jc w:val="both"/>
      </w:pPr>
      <w:r>
        <w:t>осъществяват контакт с банките, в които се съхраняват паричните средства на дружеството и неговите клиенти, извършват разплащанията с клиенти съгласно процедурите за разплащания с клиенти на депозитарните институции и местата за изпълнение, с които инвестиционният посредник има установени отношения и на които осъществява инвестиционни</w:t>
      </w:r>
      <w:r>
        <w:rPr>
          <w:spacing w:val="-2"/>
        </w:rPr>
        <w:t xml:space="preserve"> </w:t>
      </w:r>
      <w:r>
        <w:t>услуги;</w:t>
      </w:r>
    </w:p>
    <w:p w14:paraId="43ED1FEA" w14:textId="285F8653" w:rsidR="00AD61AD" w:rsidRDefault="0043466A" w:rsidP="00AD61AD">
      <w:pPr>
        <w:pStyle w:val="ListParagraph"/>
        <w:widowControl w:val="0"/>
        <w:numPr>
          <w:ilvl w:val="1"/>
          <w:numId w:val="30"/>
        </w:numPr>
        <w:tabs>
          <w:tab w:val="left" w:pos="1564"/>
        </w:tabs>
        <w:autoSpaceDE w:val="0"/>
        <w:autoSpaceDN w:val="0"/>
        <w:ind w:left="1575" w:right="913" w:hanging="360"/>
        <w:contextualSpacing w:val="0"/>
        <w:jc w:val="both"/>
      </w:pPr>
      <w:r>
        <w:t>В</w:t>
      </w:r>
      <w:r w:rsidR="00AD61AD">
        <w:t>одят счетоводна отчетност съгласно Наредба № 50, Регламент (ЕС) 2019/2033 и Регламент 575/2013, Закона за счетоводството и счетоводната политика на</w:t>
      </w:r>
      <w:r w:rsidR="00AD61AD">
        <w:rPr>
          <w:spacing w:val="-5"/>
        </w:rPr>
        <w:t xml:space="preserve"> </w:t>
      </w:r>
      <w:r w:rsidR="00AD61AD">
        <w:t>дружеството;</w:t>
      </w:r>
    </w:p>
    <w:p w14:paraId="7AEE3616" w14:textId="632D0ABA" w:rsidR="00AD61AD" w:rsidRDefault="0043466A" w:rsidP="00AD61AD">
      <w:pPr>
        <w:pStyle w:val="ListParagraph"/>
        <w:widowControl w:val="0"/>
        <w:numPr>
          <w:ilvl w:val="1"/>
          <w:numId w:val="30"/>
        </w:numPr>
        <w:tabs>
          <w:tab w:val="left" w:pos="1563"/>
        </w:tabs>
        <w:autoSpaceDE w:val="0"/>
        <w:autoSpaceDN w:val="0"/>
        <w:ind w:left="1575" w:right="914" w:hanging="361"/>
        <w:contextualSpacing w:val="0"/>
        <w:jc w:val="both"/>
      </w:pPr>
      <w:r>
        <w:t>Е</w:t>
      </w:r>
      <w:r w:rsidR="00AD61AD">
        <w:t>жедневно изготвят отчет за капиталова адекватност и ликвидност въз основа на счетоводния баланс и аналитична оборотна ведомост, като извършват преоценка на позициите в инвестиционния портфейл поне веднъж месечно, към последния работен ден от съответния</w:t>
      </w:r>
      <w:r w:rsidR="00AD61AD">
        <w:rPr>
          <w:spacing w:val="-1"/>
        </w:rPr>
        <w:t xml:space="preserve"> </w:t>
      </w:r>
      <w:r w:rsidR="00AD61AD">
        <w:t>месец;</w:t>
      </w:r>
    </w:p>
    <w:p w14:paraId="1F9DE148" w14:textId="19339BC9" w:rsidR="00AD61AD" w:rsidRDefault="0043466A" w:rsidP="00AD61AD">
      <w:pPr>
        <w:pStyle w:val="ListParagraph"/>
        <w:widowControl w:val="0"/>
        <w:numPr>
          <w:ilvl w:val="1"/>
          <w:numId w:val="30"/>
        </w:numPr>
        <w:tabs>
          <w:tab w:val="left" w:pos="1563"/>
        </w:tabs>
        <w:autoSpaceDE w:val="0"/>
        <w:autoSpaceDN w:val="0"/>
        <w:ind w:left="1574" w:right="914" w:hanging="360"/>
        <w:contextualSpacing w:val="0"/>
        <w:jc w:val="both"/>
      </w:pPr>
      <w:r>
        <w:t>П</w:t>
      </w:r>
      <w:r w:rsidR="00AD61AD">
        <w:t>редоставят по искане на изпълнителните директори /представляващите инвестиционнния посредник/ счетоводна информация за основния капитал, притежаваните финансови инструменти в собствен портфейл, извънредни приходи и разходи, разпределение на печалбата, дяловото участие в други дружества, счетоводни правила и методи на оценка и</w:t>
      </w:r>
      <w:r w:rsidR="00AD61AD">
        <w:rPr>
          <w:spacing w:val="-5"/>
        </w:rPr>
        <w:t xml:space="preserve"> </w:t>
      </w:r>
      <w:r w:rsidR="00AD61AD">
        <w:t>амортизация;</w:t>
      </w:r>
    </w:p>
    <w:p w14:paraId="314B1F25" w14:textId="5D8B8E46" w:rsidR="00AD61AD" w:rsidRDefault="0043466A" w:rsidP="00AD61AD">
      <w:pPr>
        <w:pStyle w:val="ListParagraph"/>
        <w:widowControl w:val="0"/>
        <w:numPr>
          <w:ilvl w:val="1"/>
          <w:numId w:val="30"/>
        </w:numPr>
        <w:tabs>
          <w:tab w:val="left" w:pos="1564"/>
        </w:tabs>
        <w:autoSpaceDE w:val="0"/>
        <w:autoSpaceDN w:val="0"/>
        <w:spacing w:before="38"/>
        <w:ind w:left="1575" w:right="913" w:hanging="359"/>
        <w:contextualSpacing w:val="0"/>
        <w:jc w:val="both"/>
      </w:pPr>
      <w:r>
        <w:t>Д</w:t>
      </w:r>
      <w:r w:rsidR="00AD61AD">
        <w:t>ават ежеседмична информация на изпълнителните директори /представляващите инвестиционнния посредник/ относно текущите печалби и загуби, състоянието на дружеството по баланс и</w:t>
      </w:r>
      <w:r w:rsidR="00AD61AD">
        <w:rPr>
          <w:spacing w:val="-7"/>
        </w:rPr>
        <w:t xml:space="preserve"> </w:t>
      </w:r>
      <w:r w:rsidR="00AD61AD">
        <w:t>др.</w:t>
      </w:r>
    </w:p>
    <w:p w14:paraId="7B03CC34" w14:textId="77777777" w:rsidR="002860F4" w:rsidRDefault="002860F4" w:rsidP="002860F4">
      <w:pPr>
        <w:pStyle w:val="NoSpacing"/>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rPr>
      </w:pPr>
    </w:p>
    <w:p w14:paraId="20CA24B6" w14:textId="77777777" w:rsidR="002860F4" w:rsidRDefault="002860F4" w:rsidP="002860F4">
      <w:pPr>
        <w:pStyle w:val="NoSpacing"/>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rPr>
      </w:pPr>
    </w:p>
    <w:p w14:paraId="67B83D27" w14:textId="77777777" w:rsidR="002860F4" w:rsidRDefault="002860F4" w:rsidP="002860F4">
      <w:pPr>
        <w:pStyle w:val="NoSpacing"/>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rPr>
      </w:pPr>
    </w:p>
    <w:p w14:paraId="4FF21CB0" w14:textId="3DDF6360" w:rsidR="00217195" w:rsidRPr="00F32A0F" w:rsidRDefault="006C455A" w:rsidP="00217195">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 xml:space="preserve">ВИДОВЕ </w:t>
      </w:r>
      <w:r w:rsidR="00217195" w:rsidRPr="00F32A0F">
        <w:rPr>
          <w:rFonts w:cs="Calibri"/>
          <w:b/>
          <w:bCs/>
          <w:sz w:val="24"/>
          <w:szCs w:val="24"/>
          <w:lang w:val="bg-BG" w:eastAsia="bg-BG"/>
          <w14:shadow w14:blurRad="50800" w14:dist="38100" w14:dir="2700000" w14:sx="100000" w14:sy="100000" w14:kx="0" w14:ky="0" w14:algn="tl">
            <w14:srgbClr w14:val="000000">
              <w14:alpha w14:val="60000"/>
            </w14:srgbClr>
          </w14:shadow>
        </w:rPr>
        <w:t xml:space="preserve">РИСКОВЕ, </w:t>
      </w:r>
      <w:r>
        <w:rPr>
          <w:rFonts w:cs="Calibri"/>
          <w:b/>
          <w:bCs/>
          <w:sz w:val="24"/>
          <w:szCs w:val="24"/>
          <w:lang w:val="bg-BG" w:eastAsia="bg-BG"/>
          <w14:shadow w14:blurRad="50800" w14:dist="38100" w14:dir="2700000" w14:sx="100000" w14:sy="100000" w14:kx="0" w14:ky="0" w14:algn="tl">
            <w14:srgbClr w14:val="000000">
              <w14:alpha w14:val="60000"/>
            </w14:srgbClr>
          </w14:shadow>
        </w:rPr>
        <w:t>ПРАВИЛА И ПРОЦЕДУРИ ЗА УСТАНОВЯВАНЕ, ОЦЕНКА, УПРАВЛЕНИЕ И НАБЛЮДЕНИЕ</w:t>
      </w:r>
    </w:p>
    <w:p w14:paraId="5A79BBC8" w14:textId="77777777" w:rsidR="006C455A" w:rsidRDefault="006C455A" w:rsidP="002F2F37">
      <w:pPr>
        <w:pStyle w:val="BodyTextIndent"/>
        <w:spacing w:before="120"/>
        <w:ind w:firstLine="567"/>
        <w:jc w:val="both"/>
      </w:pPr>
    </w:p>
    <w:p w14:paraId="16436CE6" w14:textId="13E830EA" w:rsidR="002F2F37" w:rsidRDefault="002F2F37" w:rsidP="002F2F37">
      <w:pPr>
        <w:pStyle w:val="BodyTextIndent"/>
        <w:spacing w:before="120"/>
        <w:ind w:firstLine="567"/>
        <w:jc w:val="both"/>
      </w:pPr>
      <w:r>
        <w:t>Риск</w:t>
      </w:r>
      <w:r w:rsidR="00443537">
        <w:t>ове</w:t>
      </w:r>
      <w:r>
        <w:t>т</w:t>
      </w:r>
      <w:r w:rsidR="00443537">
        <w:t>е</w:t>
      </w:r>
      <w:r>
        <w:t>, свързан</w:t>
      </w:r>
      <w:r w:rsidR="00443537">
        <w:t>и</w:t>
      </w:r>
      <w:r>
        <w:t xml:space="preserve"> с дейността на </w:t>
      </w:r>
      <w:r w:rsidR="00B16B8E">
        <w:t>Балканска Консултантска Компания ИП</w:t>
      </w:r>
      <w:r>
        <w:t xml:space="preserve"> </w:t>
      </w:r>
      <w:r w:rsidR="00B16B8E">
        <w:t>Е</w:t>
      </w:r>
      <w:r>
        <w:t xml:space="preserve">АД се определя от въздействието на две отделни категории риск. </w:t>
      </w:r>
    </w:p>
    <w:p w14:paraId="33B568AE" w14:textId="77777777" w:rsidR="002F2F37" w:rsidRPr="003804A8" w:rsidRDefault="002F2F37" w:rsidP="002F2F37">
      <w:pPr>
        <w:spacing w:before="120"/>
        <w:ind w:firstLine="567"/>
        <w:jc w:val="both"/>
        <w:rPr>
          <w:rFonts w:ascii="Times New Roman" w:hAnsi="Times New Roman"/>
          <w:sz w:val="24"/>
          <w:szCs w:val="24"/>
        </w:rPr>
      </w:pPr>
      <w:r w:rsidRPr="003804A8">
        <w:rPr>
          <w:rFonts w:ascii="Times New Roman" w:hAnsi="Times New Roman"/>
          <w:b/>
          <w:i/>
          <w:sz w:val="24"/>
          <w:szCs w:val="24"/>
        </w:rPr>
        <w:t>Систематичн</w:t>
      </w:r>
      <w:r w:rsidRPr="003804A8">
        <w:rPr>
          <w:rFonts w:ascii="Times New Roman" w:hAnsi="Times New Roman"/>
          <w:b/>
          <w:i/>
          <w:sz w:val="24"/>
          <w:szCs w:val="24"/>
          <w:lang w:val="ru-RU"/>
        </w:rPr>
        <w:t>и</w:t>
      </w:r>
      <w:r w:rsidRPr="003804A8">
        <w:rPr>
          <w:rFonts w:ascii="Times New Roman" w:hAnsi="Times New Roman"/>
          <w:b/>
          <w:i/>
          <w:sz w:val="24"/>
          <w:szCs w:val="24"/>
        </w:rPr>
        <w:t>те рискове</w:t>
      </w:r>
      <w:r w:rsidRPr="003804A8">
        <w:rPr>
          <w:rFonts w:ascii="Times New Roman" w:hAnsi="Times New Roman"/>
          <w:sz w:val="24"/>
          <w:szCs w:val="24"/>
        </w:rPr>
        <w:t>,</w:t>
      </w:r>
      <w:r>
        <w:rPr>
          <w:rFonts w:ascii="Times New Roman" w:hAnsi="Times New Roman"/>
          <w:sz w:val="24"/>
          <w:szCs w:val="24"/>
        </w:rPr>
        <w:t xml:space="preserve"> </w:t>
      </w:r>
      <w:r>
        <w:t xml:space="preserve">се обуславят от въздействието на </w:t>
      </w:r>
      <w:r w:rsidRPr="00004FEA">
        <w:t>макроикономическ</w:t>
      </w:r>
      <w:r>
        <w:t>а</w:t>
      </w:r>
      <w:r w:rsidRPr="00004FEA">
        <w:t>та среда в която дружеството осъществява своята дейност</w:t>
      </w:r>
      <w:r>
        <w:t xml:space="preserve"> и </w:t>
      </w:r>
      <w:r w:rsidRPr="00D17D1F">
        <w:rPr>
          <w:szCs w:val="24"/>
        </w:rPr>
        <w:t>не подлеж</w:t>
      </w:r>
      <w:r>
        <w:rPr>
          <w:szCs w:val="24"/>
        </w:rPr>
        <w:t>и</w:t>
      </w:r>
      <w:r w:rsidRPr="00D17D1F">
        <w:rPr>
          <w:szCs w:val="24"/>
        </w:rPr>
        <w:t xml:space="preserve"> на управление от страна на ръководен екип</w:t>
      </w:r>
      <w:r>
        <w:rPr>
          <w:szCs w:val="24"/>
        </w:rPr>
        <w:t xml:space="preserve"> на дружеството</w:t>
      </w:r>
      <w:r w:rsidRPr="00D17D1F">
        <w:rPr>
          <w:szCs w:val="24"/>
        </w:rPr>
        <w:t>.</w:t>
      </w:r>
      <w:r w:rsidRPr="003804A8">
        <w:rPr>
          <w:rFonts w:ascii="Times New Roman" w:hAnsi="Times New Roman"/>
          <w:sz w:val="24"/>
          <w:szCs w:val="24"/>
        </w:rPr>
        <w:t xml:space="preserve"> </w:t>
      </w:r>
      <w:r>
        <w:rPr>
          <w:rFonts w:ascii="Times New Roman" w:hAnsi="Times New Roman"/>
          <w:sz w:val="24"/>
          <w:szCs w:val="24"/>
        </w:rPr>
        <w:t>Те</w:t>
      </w:r>
      <w:r w:rsidRPr="003804A8">
        <w:rPr>
          <w:rFonts w:ascii="Times New Roman" w:hAnsi="Times New Roman"/>
          <w:sz w:val="24"/>
          <w:szCs w:val="24"/>
        </w:rPr>
        <w:t xml:space="preserve"> пряко или косвено биха могли да окажат въздействие върху дейността на дружеството</w:t>
      </w:r>
      <w:r>
        <w:rPr>
          <w:rFonts w:ascii="Times New Roman" w:hAnsi="Times New Roman"/>
          <w:sz w:val="24"/>
          <w:szCs w:val="24"/>
        </w:rPr>
        <w:t xml:space="preserve"> и</w:t>
      </w:r>
      <w:r w:rsidRPr="003804A8">
        <w:rPr>
          <w:rFonts w:ascii="Times New Roman" w:hAnsi="Times New Roman"/>
          <w:sz w:val="24"/>
          <w:szCs w:val="24"/>
        </w:rPr>
        <w:t xml:space="preserve"> са: </w:t>
      </w:r>
      <w:r>
        <w:rPr>
          <w:rFonts w:ascii="Times New Roman" w:hAnsi="Times New Roman"/>
          <w:sz w:val="24"/>
          <w:szCs w:val="24"/>
        </w:rPr>
        <w:t>п</w:t>
      </w:r>
      <w:r w:rsidRPr="003804A8">
        <w:rPr>
          <w:rFonts w:ascii="Times New Roman" w:hAnsi="Times New Roman"/>
          <w:sz w:val="24"/>
          <w:szCs w:val="24"/>
        </w:rPr>
        <w:t xml:space="preserve">олитически, </w:t>
      </w:r>
      <w:r>
        <w:rPr>
          <w:rFonts w:ascii="Times New Roman" w:hAnsi="Times New Roman"/>
          <w:sz w:val="24"/>
          <w:szCs w:val="24"/>
        </w:rPr>
        <w:t>и</w:t>
      </w:r>
      <w:r w:rsidRPr="003804A8">
        <w:rPr>
          <w:rFonts w:ascii="Times New Roman" w:hAnsi="Times New Roman"/>
          <w:sz w:val="24"/>
          <w:szCs w:val="24"/>
        </w:rPr>
        <w:t xml:space="preserve">нфлационен, </w:t>
      </w:r>
      <w:r>
        <w:rPr>
          <w:rFonts w:ascii="Times New Roman" w:hAnsi="Times New Roman"/>
          <w:sz w:val="24"/>
          <w:szCs w:val="24"/>
        </w:rPr>
        <w:t>д</w:t>
      </w:r>
      <w:r w:rsidRPr="003804A8">
        <w:rPr>
          <w:rFonts w:ascii="Times New Roman" w:hAnsi="Times New Roman"/>
          <w:sz w:val="24"/>
          <w:szCs w:val="24"/>
        </w:rPr>
        <w:t xml:space="preserve">анъчен, </w:t>
      </w:r>
      <w:r>
        <w:rPr>
          <w:rFonts w:ascii="Times New Roman" w:hAnsi="Times New Roman"/>
          <w:sz w:val="24"/>
          <w:szCs w:val="24"/>
        </w:rPr>
        <w:t>в</w:t>
      </w:r>
      <w:r w:rsidRPr="003804A8">
        <w:rPr>
          <w:rFonts w:ascii="Times New Roman" w:hAnsi="Times New Roman"/>
          <w:sz w:val="24"/>
          <w:szCs w:val="24"/>
        </w:rPr>
        <w:t xml:space="preserve">алутен риск, </w:t>
      </w:r>
      <w:r>
        <w:rPr>
          <w:rFonts w:ascii="Times New Roman" w:hAnsi="Times New Roman"/>
          <w:sz w:val="24"/>
          <w:szCs w:val="24"/>
        </w:rPr>
        <w:t>р</w:t>
      </w:r>
      <w:r w:rsidRPr="003804A8">
        <w:rPr>
          <w:rFonts w:ascii="Times New Roman" w:hAnsi="Times New Roman"/>
          <w:sz w:val="24"/>
          <w:szCs w:val="24"/>
        </w:rPr>
        <w:t xml:space="preserve">иск от неблагоприятни промени на нормативната уредба и </w:t>
      </w:r>
      <w:r>
        <w:rPr>
          <w:rFonts w:ascii="Times New Roman" w:hAnsi="Times New Roman"/>
          <w:sz w:val="24"/>
          <w:szCs w:val="24"/>
        </w:rPr>
        <w:t>р</w:t>
      </w:r>
      <w:r w:rsidRPr="003804A8">
        <w:rPr>
          <w:rFonts w:ascii="Times New Roman" w:hAnsi="Times New Roman"/>
          <w:sz w:val="24"/>
          <w:szCs w:val="24"/>
        </w:rPr>
        <w:t>иск от промяна на лихвените равнища</w:t>
      </w:r>
    </w:p>
    <w:p w14:paraId="517DACBB" w14:textId="77777777" w:rsidR="002F2F37" w:rsidRDefault="002F2F37" w:rsidP="002F2F37">
      <w:pPr>
        <w:pStyle w:val="BodyTextIndent"/>
        <w:spacing w:before="120"/>
        <w:ind w:firstLine="567"/>
        <w:jc w:val="both"/>
      </w:pPr>
      <w:r w:rsidRPr="003804A8">
        <w:rPr>
          <w:rFonts w:ascii="Times New Roman" w:hAnsi="Times New Roman"/>
          <w:b/>
          <w:i/>
          <w:sz w:val="24"/>
          <w:szCs w:val="24"/>
        </w:rPr>
        <w:t>Несистематичните рискове</w:t>
      </w:r>
      <w:r w:rsidRPr="003804A8">
        <w:rPr>
          <w:rFonts w:ascii="Times New Roman" w:hAnsi="Times New Roman"/>
          <w:sz w:val="24"/>
          <w:szCs w:val="24"/>
        </w:rPr>
        <w:t xml:space="preserve"> са </w:t>
      </w:r>
      <w:r>
        <w:t>пряко относими</w:t>
      </w:r>
      <w:r w:rsidRPr="00004FEA">
        <w:t xml:space="preserve"> към дейността на дружеството и в голяма степен </w:t>
      </w:r>
      <w:r>
        <w:t xml:space="preserve">може да се </w:t>
      </w:r>
      <w:r w:rsidRPr="00004FEA">
        <w:t>управляват от мениджмънта</w:t>
      </w:r>
      <w:r>
        <w:t>.</w:t>
      </w:r>
    </w:p>
    <w:p w14:paraId="255D6338" w14:textId="77777777" w:rsidR="00217195" w:rsidRPr="00B71CA9" w:rsidRDefault="00217195" w:rsidP="00217195">
      <w:pPr>
        <w:pStyle w:val="BodyText"/>
        <w:numPr>
          <w:ilvl w:val="0"/>
          <w:numId w:val="7"/>
        </w:numPr>
        <w:spacing w:after="0"/>
        <w:jc w:val="both"/>
        <w:rPr>
          <w:rFonts w:ascii="Calibri" w:hAnsi="Calibri"/>
          <w:b/>
          <w:sz w:val="22"/>
          <w:szCs w:val="22"/>
          <w:u w:val="single"/>
        </w:rPr>
      </w:pPr>
      <w:r w:rsidRPr="00B71CA9">
        <w:rPr>
          <w:rFonts w:ascii="Calibri" w:hAnsi="Calibri"/>
          <w:b/>
          <w:sz w:val="22"/>
          <w:szCs w:val="22"/>
          <w:u w:val="single"/>
        </w:rPr>
        <w:t>Систематични рискове:</w:t>
      </w:r>
    </w:p>
    <w:p w14:paraId="0AB4265A" w14:textId="77777777" w:rsidR="00217195" w:rsidRDefault="00217195" w:rsidP="00217195">
      <w:pPr>
        <w:tabs>
          <w:tab w:val="left" w:pos="1680"/>
        </w:tabs>
        <w:jc w:val="both"/>
      </w:pPr>
      <w:r w:rsidRPr="00B71CA9">
        <w:tab/>
      </w:r>
    </w:p>
    <w:p w14:paraId="3C2FF75A" w14:textId="77777777" w:rsidR="002C4700" w:rsidRPr="003804A8" w:rsidRDefault="002C4700" w:rsidP="002C4700">
      <w:pPr>
        <w:spacing w:before="120"/>
        <w:ind w:firstLine="567"/>
        <w:jc w:val="both"/>
        <w:rPr>
          <w:rFonts w:ascii="Times New Roman" w:hAnsi="Times New Roman"/>
          <w:sz w:val="24"/>
          <w:szCs w:val="24"/>
        </w:rPr>
      </w:pPr>
      <w:r w:rsidRPr="003804A8">
        <w:rPr>
          <w:rFonts w:ascii="Times New Roman" w:hAnsi="Times New Roman"/>
          <w:b/>
          <w:i/>
          <w:sz w:val="24"/>
          <w:szCs w:val="24"/>
        </w:rPr>
        <w:lastRenderedPageBreak/>
        <w:t>Систематичн</w:t>
      </w:r>
      <w:r w:rsidRPr="003804A8">
        <w:rPr>
          <w:rFonts w:ascii="Times New Roman" w:hAnsi="Times New Roman"/>
          <w:b/>
          <w:i/>
          <w:sz w:val="24"/>
          <w:szCs w:val="24"/>
          <w:lang w:val="ru-RU"/>
        </w:rPr>
        <w:t>и</w:t>
      </w:r>
      <w:r w:rsidRPr="003804A8">
        <w:rPr>
          <w:rFonts w:ascii="Times New Roman" w:hAnsi="Times New Roman"/>
          <w:b/>
          <w:i/>
          <w:sz w:val="24"/>
          <w:szCs w:val="24"/>
        </w:rPr>
        <w:t>те рискове</w:t>
      </w:r>
      <w:r w:rsidRPr="003804A8">
        <w:rPr>
          <w:rFonts w:ascii="Times New Roman" w:hAnsi="Times New Roman"/>
          <w:sz w:val="24"/>
          <w:szCs w:val="24"/>
        </w:rPr>
        <w:t xml:space="preserve">, които пряко или косвено биха могли да окажат въздействие върху дейността на дружеството са: </w:t>
      </w:r>
      <w:r>
        <w:rPr>
          <w:rFonts w:ascii="Times New Roman" w:hAnsi="Times New Roman"/>
          <w:sz w:val="24"/>
          <w:szCs w:val="24"/>
        </w:rPr>
        <w:t>п</w:t>
      </w:r>
      <w:r w:rsidRPr="003804A8">
        <w:rPr>
          <w:rFonts w:ascii="Times New Roman" w:hAnsi="Times New Roman"/>
          <w:sz w:val="24"/>
          <w:szCs w:val="24"/>
        </w:rPr>
        <w:t xml:space="preserve">олитически, </w:t>
      </w:r>
      <w:r>
        <w:rPr>
          <w:rFonts w:ascii="Times New Roman" w:hAnsi="Times New Roman"/>
          <w:sz w:val="24"/>
          <w:szCs w:val="24"/>
        </w:rPr>
        <w:t>и</w:t>
      </w:r>
      <w:r w:rsidRPr="003804A8">
        <w:rPr>
          <w:rFonts w:ascii="Times New Roman" w:hAnsi="Times New Roman"/>
          <w:sz w:val="24"/>
          <w:szCs w:val="24"/>
        </w:rPr>
        <w:t xml:space="preserve">нфлационен, </w:t>
      </w:r>
      <w:r>
        <w:rPr>
          <w:rFonts w:ascii="Times New Roman" w:hAnsi="Times New Roman"/>
          <w:sz w:val="24"/>
          <w:szCs w:val="24"/>
        </w:rPr>
        <w:t>д</w:t>
      </w:r>
      <w:r w:rsidRPr="003804A8">
        <w:rPr>
          <w:rFonts w:ascii="Times New Roman" w:hAnsi="Times New Roman"/>
          <w:sz w:val="24"/>
          <w:szCs w:val="24"/>
        </w:rPr>
        <w:t xml:space="preserve">анъчен, </w:t>
      </w:r>
      <w:r>
        <w:rPr>
          <w:rFonts w:ascii="Times New Roman" w:hAnsi="Times New Roman"/>
          <w:sz w:val="24"/>
          <w:szCs w:val="24"/>
        </w:rPr>
        <w:t>в</w:t>
      </w:r>
      <w:r w:rsidRPr="003804A8">
        <w:rPr>
          <w:rFonts w:ascii="Times New Roman" w:hAnsi="Times New Roman"/>
          <w:sz w:val="24"/>
          <w:szCs w:val="24"/>
        </w:rPr>
        <w:t xml:space="preserve">алутен риск, </w:t>
      </w:r>
      <w:r>
        <w:rPr>
          <w:rFonts w:ascii="Times New Roman" w:hAnsi="Times New Roman"/>
          <w:sz w:val="24"/>
          <w:szCs w:val="24"/>
        </w:rPr>
        <w:t>р</w:t>
      </w:r>
      <w:r w:rsidRPr="003804A8">
        <w:rPr>
          <w:rFonts w:ascii="Times New Roman" w:hAnsi="Times New Roman"/>
          <w:sz w:val="24"/>
          <w:szCs w:val="24"/>
        </w:rPr>
        <w:t xml:space="preserve">иск от неблагоприятни промени на нормативната уредба и </w:t>
      </w:r>
      <w:r>
        <w:rPr>
          <w:rFonts w:ascii="Times New Roman" w:hAnsi="Times New Roman"/>
          <w:sz w:val="24"/>
          <w:szCs w:val="24"/>
        </w:rPr>
        <w:t>р</w:t>
      </w:r>
      <w:r w:rsidRPr="003804A8">
        <w:rPr>
          <w:rFonts w:ascii="Times New Roman" w:hAnsi="Times New Roman"/>
          <w:sz w:val="24"/>
          <w:szCs w:val="24"/>
        </w:rPr>
        <w:t>иск от промяна на лихвените равнища</w:t>
      </w:r>
    </w:p>
    <w:p w14:paraId="17311B6D" w14:textId="77777777" w:rsidR="002C4700" w:rsidRPr="00B71CA9" w:rsidRDefault="002C4700" w:rsidP="00217195">
      <w:pPr>
        <w:tabs>
          <w:tab w:val="left" w:pos="1680"/>
        </w:tabs>
        <w:jc w:val="both"/>
        <w:rPr>
          <w:b/>
        </w:rPr>
      </w:pPr>
    </w:p>
    <w:p w14:paraId="51F5F55F" w14:textId="77777777" w:rsidR="00217195" w:rsidRPr="00416E2D" w:rsidRDefault="00217195" w:rsidP="00217195">
      <w:pPr>
        <w:numPr>
          <w:ilvl w:val="0"/>
          <w:numId w:val="8"/>
        </w:numPr>
        <w:tabs>
          <w:tab w:val="left" w:pos="426"/>
        </w:tabs>
        <w:ind w:hanging="4973"/>
        <w:jc w:val="both"/>
        <w:rPr>
          <w:b/>
        </w:rPr>
      </w:pPr>
      <w:r w:rsidRPr="00416E2D">
        <w:rPr>
          <w:b/>
        </w:rPr>
        <w:t>Политически риск:</w:t>
      </w:r>
    </w:p>
    <w:p w14:paraId="63D31002" w14:textId="77777777" w:rsidR="007C2B65" w:rsidRPr="00416E2D" w:rsidRDefault="007C2B65" w:rsidP="007C2B65">
      <w:pPr>
        <w:ind w:firstLine="567"/>
        <w:jc w:val="both"/>
        <w:rPr>
          <w:rFonts w:ascii="Times New Roman" w:hAnsi="Times New Roman"/>
          <w:sz w:val="24"/>
          <w:szCs w:val="24"/>
          <w:lang w:val="ru-RU"/>
        </w:rPr>
      </w:pPr>
      <w:r w:rsidRPr="00416E2D">
        <w:rPr>
          <w:rFonts w:ascii="Times New Roman" w:hAnsi="Times New Roman"/>
          <w:sz w:val="24"/>
          <w:szCs w:val="24"/>
          <w:lang w:val="ru-RU"/>
        </w:rPr>
        <w:t xml:space="preserve">Този риск е свързан с вероятността от вътрешнополитически сътресения и неблагоприятни промени в стопанската среда, в която функционират стопанските субекти.  </w:t>
      </w:r>
    </w:p>
    <w:p w14:paraId="023A6BD8" w14:textId="7D1A29C5" w:rsidR="00217195" w:rsidRPr="00416E2D" w:rsidRDefault="00217195" w:rsidP="00561A36">
      <w:pPr>
        <w:pStyle w:val="BodyTextIndent"/>
        <w:ind w:left="0"/>
        <w:jc w:val="both"/>
      </w:pPr>
      <w:r w:rsidRPr="00416E2D">
        <w:t>Степента на политическия риск се асоциира с вероятността за промени в неблагоприятна посока на водената от правителството икономическа политика или в по-неблагоприятния случай - смяна на правителството и като следствие от това с опасността от негативни промени в инвестиционния климат.</w:t>
      </w:r>
    </w:p>
    <w:p w14:paraId="1647E509" w14:textId="77777777" w:rsidR="00217195" w:rsidRPr="00416E2D" w:rsidRDefault="00217195" w:rsidP="00217195">
      <w:pPr>
        <w:pStyle w:val="BodyTextIndent"/>
        <w:tabs>
          <w:tab w:val="num" w:pos="540"/>
        </w:tabs>
        <w:spacing w:after="0"/>
        <w:ind w:left="0"/>
        <w:jc w:val="both"/>
        <w:rPr>
          <w:rFonts w:cs="Calibri"/>
        </w:rPr>
      </w:pPr>
    </w:p>
    <w:p w14:paraId="6054A862" w14:textId="77777777" w:rsidR="00217195" w:rsidRPr="00416E2D" w:rsidRDefault="00217195" w:rsidP="00217195">
      <w:pPr>
        <w:numPr>
          <w:ilvl w:val="0"/>
          <w:numId w:val="8"/>
        </w:numPr>
        <w:tabs>
          <w:tab w:val="left" w:pos="426"/>
        </w:tabs>
        <w:ind w:hanging="4973"/>
        <w:jc w:val="both"/>
        <w:rPr>
          <w:b/>
        </w:rPr>
      </w:pPr>
      <w:r w:rsidRPr="00416E2D">
        <w:rPr>
          <w:b/>
        </w:rPr>
        <w:t>Макроикономически рискове:</w:t>
      </w:r>
    </w:p>
    <w:p w14:paraId="2ACC9B08" w14:textId="77777777" w:rsidR="00217195" w:rsidRPr="00416E2D" w:rsidRDefault="00217195" w:rsidP="00217195">
      <w:pPr>
        <w:tabs>
          <w:tab w:val="left" w:pos="426"/>
        </w:tabs>
        <w:jc w:val="both"/>
        <w:rPr>
          <w:b/>
          <w:color w:val="000000"/>
        </w:rPr>
      </w:pPr>
    </w:p>
    <w:p w14:paraId="06645D2C" w14:textId="77777777" w:rsidR="00217195" w:rsidRPr="00416E2D" w:rsidRDefault="00217195" w:rsidP="00217195">
      <w:pPr>
        <w:pStyle w:val="BodyTextIndent"/>
        <w:ind w:left="0"/>
        <w:jc w:val="both"/>
      </w:pPr>
      <w:r w:rsidRPr="00416E2D">
        <w:t>Икономиката на България като малка държава е силно зависима от европейската и световната икономика. Подобрението на водещите индикатори за еврозоната формират очаквания за нейното бавно и постепенно възстановяване. В краткосрочен план вътрешното търсене се очаква да бъде благоприятно повлияно от забавянето на инфлационните процеси.</w:t>
      </w:r>
    </w:p>
    <w:p w14:paraId="360E200D" w14:textId="77777777" w:rsidR="00217195" w:rsidRPr="00416E2D" w:rsidRDefault="00217195" w:rsidP="00217195">
      <w:pPr>
        <w:pStyle w:val="BodyTextIndent"/>
        <w:ind w:left="0"/>
      </w:pPr>
    </w:p>
    <w:p w14:paraId="56F070E8" w14:textId="77777777" w:rsidR="00217195" w:rsidRPr="00416E2D" w:rsidRDefault="00217195" w:rsidP="00217195">
      <w:pPr>
        <w:pStyle w:val="BodyTextIndent"/>
        <w:numPr>
          <w:ilvl w:val="0"/>
          <w:numId w:val="11"/>
        </w:numPr>
        <w:tabs>
          <w:tab w:val="num" w:pos="567"/>
        </w:tabs>
        <w:spacing w:after="0"/>
        <w:ind w:left="567" w:hanging="283"/>
        <w:jc w:val="both"/>
        <w:rPr>
          <w:b/>
        </w:rPr>
      </w:pPr>
      <w:r w:rsidRPr="00416E2D">
        <w:rPr>
          <w:b/>
        </w:rPr>
        <w:t>Валутен риск:</w:t>
      </w:r>
    </w:p>
    <w:p w14:paraId="61285A7B" w14:textId="77777777" w:rsidR="00914B4C" w:rsidRPr="00416E2D" w:rsidRDefault="00914B4C" w:rsidP="00914B4C">
      <w:pPr>
        <w:ind w:firstLine="567"/>
        <w:jc w:val="both"/>
        <w:rPr>
          <w:rFonts w:ascii="Times New Roman" w:hAnsi="Times New Roman"/>
          <w:sz w:val="24"/>
          <w:szCs w:val="24"/>
          <w:lang w:val="ru-RU"/>
        </w:rPr>
      </w:pPr>
      <w:r w:rsidRPr="00416E2D">
        <w:rPr>
          <w:rFonts w:ascii="Times New Roman" w:hAnsi="Times New Roman"/>
          <w:sz w:val="24"/>
          <w:szCs w:val="24"/>
          <w:lang w:val="ru-RU"/>
        </w:rPr>
        <w:t>Систематичният валутен риск се определя от вероятността от предсрочно отпадане на валутния режим (борд) в сраната, от което би последвало евентуално обезценяване на лева, спрямо чуждестранните валути. Съгласно действащото законодателство в страната, българският лев е фиксиран към еврото и риска от обезценяване на лева спрямо европейската валута е минимален, но съществува риск от неблагоприятни промени на курса на еврото спрямо други основни валути, като щатския долар, швейцарски франк, британски паунд и др. В Дейността си дружеството   е изложено на този риск, но тъй като дружеството извършва основните си  разплащания (покупки и продажби) в лева или евро, въздействието на риска от промяна на валутния курс е минимизирана..</w:t>
      </w:r>
    </w:p>
    <w:p w14:paraId="64241798" w14:textId="77777777" w:rsidR="00914B4C" w:rsidRPr="00561A36" w:rsidRDefault="00914B4C" w:rsidP="00914B4C">
      <w:pPr>
        <w:pStyle w:val="BodyTextIndent"/>
        <w:ind w:left="0"/>
        <w:jc w:val="both"/>
        <w:rPr>
          <w:rFonts w:ascii="Times New Roman" w:hAnsi="Times New Roman"/>
        </w:rPr>
      </w:pPr>
      <w:r w:rsidRPr="00561A36">
        <w:rPr>
          <w:rFonts w:ascii="Times New Roman" w:hAnsi="Times New Roman"/>
        </w:rPr>
        <w:t xml:space="preserve">Като гарант за макроикономическата стабилност, България ще запази паричния съвет при съществуващото равнище на фиксиран валутен курс от 1.95583 лева за 1 евро до присъединяването на страната към еврозоната. </w:t>
      </w:r>
    </w:p>
    <w:p w14:paraId="2AB55EE4" w14:textId="77777777" w:rsidR="00217195" w:rsidRPr="00416E2D" w:rsidRDefault="00217195" w:rsidP="00217195">
      <w:pPr>
        <w:pStyle w:val="BodyTextIndent"/>
        <w:ind w:left="0"/>
      </w:pPr>
    </w:p>
    <w:p w14:paraId="0B062B45" w14:textId="77777777" w:rsidR="00217195" w:rsidRPr="00416E2D" w:rsidRDefault="00217195" w:rsidP="00217195">
      <w:pPr>
        <w:pStyle w:val="BodyTextIndent"/>
        <w:numPr>
          <w:ilvl w:val="0"/>
          <w:numId w:val="11"/>
        </w:numPr>
        <w:tabs>
          <w:tab w:val="num" w:pos="567"/>
        </w:tabs>
        <w:spacing w:after="0"/>
        <w:ind w:left="567" w:hanging="283"/>
        <w:jc w:val="both"/>
        <w:rPr>
          <w:b/>
        </w:rPr>
      </w:pPr>
      <w:r w:rsidRPr="00416E2D">
        <w:rPr>
          <w:b/>
        </w:rPr>
        <w:t>Инфлационен риск:</w:t>
      </w:r>
    </w:p>
    <w:p w14:paraId="29F49B43" w14:textId="77777777" w:rsidR="00BB4625" w:rsidRPr="00416E2D" w:rsidRDefault="00BB4625" w:rsidP="00BB4625">
      <w:pPr>
        <w:ind w:firstLine="567"/>
        <w:jc w:val="both"/>
        <w:rPr>
          <w:rFonts w:ascii="Times New Roman" w:hAnsi="Times New Roman"/>
          <w:sz w:val="24"/>
          <w:szCs w:val="24"/>
          <w:lang w:val="ru-RU"/>
        </w:rPr>
      </w:pPr>
      <w:r w:rsidRPr="00416E2D">
        <w:rPr>
          <w:rFonts w:ascii="Times New Roman" w:hAnsi="Times New Roman"/>
          <w:sz w:val="24"/>
          <w:szCs w:val="24"/>
          <w:lang w:val="ru-RU"/>
        </w:rPr>
        <w:t>Инфлационният риск е свързан с вероятността от значително покачване на покупните цени на стоки и услуги, което води до намаляване на доходите, свиване на потребителското търсене и ограничаване растежа на икономиката на страната.</w:t>
      </w:r>
    </w:p>
    <w:p w14:paraId="1750AD5F" w14:textId="77777777" w:rsidR="006722BA" w:rsidRPr="00416E2D" w:rsidRDefault="006722BA" w:rsidP="00217195">
      <w:pPr>
        <w:pStyle w:val="BodyTextIndent"/>
        <w:ind w:left="0"/>
        <w:jc w:val="both"/>
        <w:rPr>
          <w:i/>
        </w:rPr>
      </w:pPr>
    </w:p>
    <w:p w14:paraId="3999D9D2" w14:textId="77777777" w:rsidR="00217195" w:rsidRPr="00416E2D" w:rsidRDefault="00217195" w:rsidP="00217195">
      <w:pPr>
        <w:pStyle w:val="BodyTextIndent"/>
        <w:numPr>
          <w:ilvl w:val="0"/>
          <w:numId w:val="11"/>
        </w:numPr>
        <w:tabs>
          <w:tab w:val="num" w:pos="567"/>
        </w:tabs>
        <w:spacing w:after="0"/>
        <w:ind w:left="567" w:hanging="283"/>
        <w:jc w:val="both"/>
        <w:rPr>
          <w:b/>
        </w:rPr>
      </w:pPr>
      <w:r w:rsidRPr="00416E2D">
        <w:rPr>
          <w:b/>
        </w:rPr>
        <w:t>Риск от лицензионни режими:</w:t>
      </w:r>
    </w:p>
    <w:p w14:paraId="40EE15FA" w14:textId="77777777" w:rsidR="00217195" w:rsidRPr="00416E2D" w:rsidRDefault="00217195" w:rsidP="00561A36">
      <w:pPr>
        <w:pStyle w:val="BodyText"/>
        <w:ind w:firstLine="567"/>
        <w:jc w:val="both"/>
        <w:rPr>
          <w:rFonts w:ascii="Calibri" w:hAnsi="Calibri"/>
          <w:sz w:val="22"/>
          <w:szCs w:val="22"/>
        </w:rPr>
      </w:pPr>
      <w:r w:rsidRPr="00416E2D">
        <w:rPr>
          <w:rFonts w:ascii="Calibri" w:hAnsi="Calibri"/>
          <w:sz w:val="22"/>
          <w:szCs w:val="22"/>
        </w:rPr>
        <w:t>Отговорните власти провеждат политика по намаляване броя на отежняващите лицензии и разрешителни,</w:t>
      </w:r>
      <w:r w:rsidRPr="00416E2D">
        <w:rPr>
          <w:sz w:val="22"/>
          <w:szCs w:val="22"/>
        </w:rPr>
        <w:t xml:space="preserve"> </w:t>
      </w:r>
      <w:r w:rsidRPr="00416E2D">
        <w:rPr>
          <w:rFonts w:ascii="Calibri" w:hAnsi="Calibri"/>
          <w:sz w:val="22"/>
          <w:szCs w:val="22"/>
        </w:rPr>
        <w:t>и опростяване на тези, които останат в сила. Това ще окаже благоприятно влияние върху ограничаването на бюрокрацията и корупционните практики. Създадена е и информационна система - административен регистър на регулаторните режими (лицензионни, разрешителни, регистрационни, съгласувателни).</w:t>
      </w:r>
    </w:p>
    <w:p w14:paraId="08CDE407" w14:textId="77777777" w:rsidR="00217195" w:rsidRDefault="00217195" w:rsidP="00217195">
      <w:pPr>
        <w:pStyle w:val="BodyText"/>
        <w:jc w:val="both"/>
        <w:rPr>
          <w:rFonts w:ascii="Calibri" w:hAnsi="Calibri"/>
          <w:sz w:val="22"/>
          <w:szCs w:val="22"/>
        </w:rPr>
      </w:pPr>
    </w:p>
    <w:p w14:paraId="351C0098" w14:textId="37EE2083" w:rsidR="00561A36" w:rsidRPr="00416E2D" w:rsidRDefault="00561A36" w:rsidP="00561A36">
      <w:pPr>
        <w:pStyle w:val="BodyTextIndent"/>
        <w:numPr>
          <w:ilvl w:val="0"/>
          <w:numId w:val="11"/>
        </w:numPr>
        <w:tabs>
          <w:tab w:val="num" w:pos="567"/>
        </w:tabs>
        <w:spacing w:after="0"/>
        <w:ind w:left="567" w:hanging="283"/>
        <w:jc w:val="both"/>
        <w:rPr>
          <w:b/>
        </w:rPr>
      </w:pPr>
      <w:r>
        <w:rPr>
          <w:b/>
        </w:rPr>
        <w:t>Пазарен риск</w:t>
      </w:r>
      <w:r w:rsidRPr="00416E2D">
        <w:rPr>
          <w:b/>
        </w:rPr>
        <w:t>:</w:t>
      </w:r>
    </w:p>
    <w:p w14:paraId="7EE86949" w14:textId="6850820B" w:rsidR="00561A36" w:rsidRDefault="00561A36" w:rsidP="00C843B7">
      <w:pPr>
        <w:pStyle w:val="BodyText"/>
        <w:ind w:firstLine="567"/>
        <w:jc w:val="both"/>
        <w:rPr>
          <w:rFonts w:ascii="Calibri" w:hAnsi="Calibri"/>
          <w:sz w:val="22"/>
          <w:szCs w:val="22"/>
        </w:rPr>
      </w:pPr>
      <w:r>
        <w:rPr>
          <w:rFonts w:ascii="Calibri" w:hAnsi="Calibri"/>
          <w:sz w:val="22"/>
          <w:szCs w:val="22"/>
        </w:rPr>
        <w:lastRenderedPageBreak/>
        <w:t>Вероятността да бъдат понесе загуби или да не бъде реализирана печалба под въздействието на неблагоприятни промени в цените на финансовите инструменти и намаляване на клиентската маса.</w:t>
      </w:r>
    </w:p>
    <w:p w14:paraId="194E2834" w14:textId="77E69566" w:rsidR="00C843B7" w:rsidRPr="00416E2D" w:rsidRDefault="00C843B7" w:rsidP="00C843B7">
      <w:pPr>
        <w:pStyle w:val="BodyTextIndent"/>
        <w:numPr>
          <w:ilvl w:val="0"/>
          <w:numId w:val="11"/>
        </w:numPr>
        <w:tabs>
          <w:tab w:val="num" w:pos="567"/>
        </w:tabs>
        <w:spacing w:after="0"/>
        <w:ind w:left="567" w:hanging="283"/>
        <w:jc w:val="both"/>
        <w:rPr>
          <w:b/>
        </w:rPr>
      </w:pPr>
      <w:r>
        <w:rPr>
          <w:b/>
        </w:rPr>
        <w:t>Кредитен риск</w:t>
      </w:r>
      <w:r w:rsidRPr="00416E2D">
        <w:rPr>
          <w:b/>
        </w:rPr>
        <w:t>:</w:t>
      </w:r>
    </w:p>
    <w:p w14:paraId="3C886920" w14:textId="76D9F956" w:rsidR="00C843B7" w:rsidRDefault="00C843B7" w:rsidP="00C843B7">
      <w:pPr>
        <w:pStyle w:val="BodyText"/>
        <w:ind w:firstLine="567"/>
        <w:jc w:val="both"/>
        <w:rPr>
          <w:rFonts w:ascii="Calibri" w:hAnsi="Calibri"/>
          <w:sz w:val="22"/>
          <w:szCs w:val="22"/>
        </w:rPr>
      </w:pPr>
      <w:r>
        <w:rPr>
          <w:rFonts w:ascii="Calibri" w:hAnsi="Calibri"/>
          <w:sz w:val="22"/>
          <w:szCs w:val="22"/>
        </w:rPr>
        <w:t>Риск от неипълнение на контрагента в резултат, на което има вероятност да се нарушат капиталовите изисквания на инвестиционния посредник</w:t>
      </w:r>
    </w:p>
    <w:p w14:paraId="4CE0E53D" w14:textId="77777777" w:rsidR="00C843B7" w:rsidRDefault="00C843B7" w:rsidP="00561A36">
      <w:pPr>
        <w:pStyle w:val="BodyText"/>
        <w:ind w:left="567"/>
        <w:jc w:val="both"/>
        <w:rPr>
          <w:rFonts w:ascii="Calibri" w:hAnsi="Calibri"/>
          <w:sz w:val="22"/>
          <w:szCs w:val="22"/>
        </w:rPr>
      </w:pPr>
    </w:p>
    <w:p w14:paraId="378933FD" w14:textId="5FB76E67" w:rsidR="00C843B7" w:rsidRPr="00416E2D" w:rsidRDefault="00C843B7" w:rsidP="00C843B7">
      <w:pPr>
        <w:pStyle w:val="BodyTextIndent"/>
        <w:numPr>
          <w:ilvl w:val="0"/>
          <w:numId w:val="11"/>
        </w:numPr>
        <w:tabs>
          <w:tab w:val="num" w:pos="567"/>
        </w:tabs>
        <w:spacing w:after="0"/>
        <w:ind w:left="567" w:hanging="283"/>
        <w:jc w:val="both"/>
        <w:rPr>
          <w:b/>
        </w:rPr>
      </w:pPr>
      <w:r>
        <w:rPr>
          <w:b/>
        </w:rPr>
        <w:t>Операционен риск</w:t>
      </w:r>
      <w:r w:rsidRPr="00416E2D">
        <w:rPr>
          <w:b/>
        </w:rPr>
        <w:t>:</w:t>
      </w:r>
    </w:p>
    <w:p w14:paraId="74889A02" w14:textId="79A873E1" w:rsidR="00C843B7" w:rsidRPr="00561A36" w:rsidRDefault="00C843B7" w:rsidP="00C843B7">
      <w:pPr>
        <w:pStyle w:val="BodyText"/>
        <w:ind w:firstLine="567"/>
        <w:jc w:val="both"/>
        <w:rPr>
          <w:rFonts w:ascii="Calibri" w:hAnsi="Calibri"/>
          <w:sz w:val="22"/>
          <w:szCs w:val="22"/>
        </w:rPr>
      </w:pPr>
      <w:r>
        <w:rPr>
          <w:rFonts w:ascii="Calibri" w:hAnsi="Calibri"/>
          <w:sz w:val="22"/>
          <w:szCs w:val="22"/>
        </w:rPr>
        <w:t>Вероятността да дъдат реализирани загуби от неподходящи или неправилни вътрешни проедури и грешки на служителите на ИП</w:t>
      </w:r>
    </w:p>
    <w:p w14:paraId="7170872F" w14:textId="0E4F906D" w:rsidR="00F233FA" w:rsidRDefault="00F233FA" w:rsidP="00F233FA">
      <w:pPr>
        <w:ind w:firstLine="567"/>
        <w:jc w:val="both"/>
        <w:rPr>
          <w:rFonts w:ascii="Times New Roman" w:hAnsi="Times New Roman"/>
          <w:sz w:val="24"/>
          <w:szCs w:val="24"/>
          <w:lang w:val="ru-RU"/>
        </w:rPr>
      </w:pPr>
      <w:r w:rsidRPr="00DA7A4D">
        <w:rPr>
          <w:rFonts w:ascii="Times New Roman" w:hAnsi="Times New Roman"/>
          <w:sz w:val="24"/>
          <w:szCs w:val="24"/>
          <w:lang w:val="ru-RU"/>
        </w:rPr>
        <w:t xml:space="preserve"> </w:t>
      </w:r>
    </w:p>
    <w:p w14:paraId="3B0631EC" w14:textId="77777777" w:rsidR="00C843B7" w:rsidRPr="00416E2D" w:rsidRDefault="00C843B7" w:rsidP="00C843B7">
      <w:pPr>
        <w:pStyle w:val="BodyTextIndent"/>
        <w:numPr>
          <w:ilvl w:val="0"/>
          <w:numId w:val="11"/>
        </w:numPr>
        <w:tabs>
          <w:tab w:val="num" w:pos="567"/>
        </w:tabs>
        <w:spacing w:after="0"/>
        <w:ind w:left="567" w:hanging="283"/>
        <w:jc w:val="both"/>
        <w:rPr>
          <w:b/>
        </w:rPr>
      </w:pPr>
      <w:r>
        <w:rPr>
          <w:b/>
        </w:rPr>
        <w:t>Пазарен риск</w:t>
      </w:r>
      <w:r w:rsidRPr="00416E2D">
        <w:rPr>
          <w:b/>
        </w:rPr>
        <w:t>:</w:t>
      </w:r>
    </w:p>
    <w:p w14:paraId="18602207" w14:textId="303939CC" w:rsidR="00C843B7" w:rsidRDefault="00C843B7" w:rsidP="00C843B7">
      <w:pPr>
        <w:ind w:firstLine="567"/>
        <w:jc w:val="both"/>
        <w:rPr>
          <w:rFonts w:ascii="Times New Roman" w:hAnsi="Times New Roman"/>
          <w:sz w:val="24"/>
          <w:szCs w:val="24"/>
        </w:rPr>
      </w:pPr>
      <w:r>
        <w:rPr>
          <w:rFonts w:ascii="Times New Roman" w:hAnsi="Times New Roman"/>
          <w:sz w:val="24"/>
          <w:szCs w:val="24"/>
        </w:rPr>
        <w:t>Веротността за загуби в следствие на нарушения или неспазване на законовите норми или вътрешните правила.</w:t>
      </w:r>
    </w:p>
    <w:p w14:paraId="4A11C770" w14:textId="77777777" w:rsidR="00217195" w:rsidRDefault="00217195" w:rsidP="00217195">
      <w:pPr>
        <w:pStyle w:val="BodyTextIndent"/>
        <w:ind w:left="0"/>
        <w:rPr>
          <w:b/>
          <w:color w:val="00B050"/>
          <w:u w:val="single"/>
        </w:rPr>
      </w:pPr>
    </w:p>
    <w:p w14:paraId="08C52657" w14:textId="6A13F586" w:rsidR="00C843B7" w:rsidRPr="00416E2D" w:rsidRDefault="00C843B7" w:rsidP="00C843B7">
      <w:pPr>
        <w:pStyle w:val="BodyTextIndent"/>
        <w:numPr>
          <w:ilvl w:val="0"/>
          <w:numId w:val="11"/>
        </w:numPr>
        <w:tabs>
          <w:tab w:val="num" w:pos="567"/>
        </w:tabs>
        <w:spacing w:after="0"/>
        <w:ind w:left="567" w:hanging="283"/>
        <w:jc w:val="both"/>
        <w:rPr>
          <w:b/>
        </w:rPr>
      </w:pPr>
      <w:r>
        <w:rPr>
          <w:b/>
        </w:rPr>
        <w:t>Ликвидационен риск</w:t>
      </w:r>
      <w:r w:rsidRPr="00416E2D">
        <w:rPr>
          <w:b/>
        </w:rPr>
        <w:t>:</w:t>
      </w:r>
    </w:p>
    <w:p w14:paraId="271CED74" w14:textId="08E9F78A" w:rsidR="00217195" w:rsidRPr="00C90955" w:rsidRDefault="0023680B" w:rsidP="00C843B7">
      <w:pPr>
        <w:pStyle w:val="BodyTextIndent"/>
        <w:ind w:left="0" w:firstLine="567"/>
        <w:rPr>
          <w:b/>
          <w:u w:val="single"/>
        </w:rPr>
      </w:pPr>
      <w:r w:rsidRPr="003804A8">
        <w:rPr>
          <w:rFonts w:ascii="Times New Roman" w:hAnsi="Times New Roman"/>
          <w:sz w:val="24"/>
          <w:szCs w:val="24"/>
        </w:rPr>
        <w:t>Ликвидния риск се определя от вероятността дружеството да не е в състояние на изплаща текущите си задължения. Риск произлиза от вземания от клиенти с отсрочен срок на плащане.</w:t>
      </w:r>
    </w:p>
    <w:p w14:paraId="31C25806" w14:textId="77777777" w:rsidR="00217195" w:rsidRDefault="00217195" w:rsidP="00217195">
      <w:pPr>
        <w:pStyle w:val="BodyText"/>
        <w:jc w:val="both"/>
        <w:rPr>
          <w:rFonts w:ascii="Calibri" w:hAnsi="Calibri"/>
          <w:b/>
          <w:color w:val="000000"/>
          <w:kern w:val="2"/>
          <w:sz w:val="22"/>
          <w:szCs w:val="22"/>
        </w:rPr>
      </w:pPr>
    </w:p>
    <w:p w14:paraId="24780963" w14:textId="7DFBADAC" w:rsidR="0023680B" w:rsidRPr="00416E2D" w:rsidRDefault="0023680B" w:rsidP="0023680B">
      <w:pPr>
        <w:pStyle w:val="BodyTextIndent"/>
        <w:numPr>
          <w:ilvl w:val="0"/>
          <w:numId w:val="11"/>
        </w:numPr>
        <w:tabs>
          <w:tab w:val="num" w:pos="567"/>
        </w:tabs>
        <w:spacing w:after="0"/>
        <w:ind w:left="567" w:hanging="283"/>
        <w:jc w:val="both"/>
        <w:rPr>
          <w:b/>
        </w:rPr>
      </w:pPr>
      <w:r w:rsidRPr="00C90955">
        <w:rPr>
          <w:b/>
        </w:rPr>
        <w:t>Риск, свързан с паричния поток:</w:t>
      </w:r>
    </w:p>
    <w:p w14:paraId="3813C4A9" w14:textId="0C26D060" w:rsidR="0023680B" w:rsidRDefault="00217195" w:rsidP="0023680B">
      <w:pPr>
        <w:pStyle w:val="BodyText"/>
        <w:ind w:firstLine="567"/>
        <w:jc w:val="both"/>
        <w:rPr>
          <w:rFonts w:ascii="Calibri" w:hAnsi="Calibri"/>
          <w:color w:val="000000"/>
          <w:kern w:val="2"/>
          <w:sz w:val="22"/>
          <w:szCs w:val="22"/>
          <w:lang w:val="be-BY"/>
        </w:rPr>
      </w:pPr>
      <w:r w:rsidRPr="00FD3526">
        <w:rPr>
          <w:rFonts w:ascii="Calibri" w:hAnsi="Calibri"/>
          <w:color w:val="000000"/>
          <w:kern w:val="2"/>
          <w:sz w:val="22"/>
          <w:szCs w:val="22"/>
        </w:rPr>
        <w:t>Рискът, свързан с паричния поток разглежда проблемите с наличните парични средства в дружеството. Тук от съществено значение е договорната политика, която следва да защитава фирмените финанси, като гарантира регулярни входящи потоци от страна на клиенти, както и навременни плащания на задълженията.</w:t>
      </w:r>
      <w:r w:rsidR="0023680B">
        <w:rPr>
          <w:rFonts w:ascii="Calibri" w:hAnsi="Calibri"/>
          <w:color w:val="000000"/>
          <w:kern w:val="2"/>
          <w:sz w:val="22"/>
          <w:szCs w:val="22"/>
        </w:rPr>
        <w:t xml:space="preserve"> </w:t>
      </w:r>
      <w:r w:rsidRPr="00FD3526">
        <w:rPr>
          <w:rFonts w:ascii="Calibri" w:hAnsi="Calibri"/>
          <w:color w:val="000000"/>
          <w:kern w:val="2"/>
          <w:sz w:val="22"/>
          <w:szCs w:val="22"/>
        </w:rPr>
        <w:t xml:space="preserve">Управлението на риска, свързан с паричните потоци за дружеството ни изисква поддържане на </w:t>
      </w:r>
      <w:r w:rsidRPr="00FD3526">
        <w:rPr>
          <w:rFonts w:ascii="Calibri" w:hAnsi="Calibri"/>
          <w:color w:val="000000"/>
          <w:kern w:val="2"/>
          <w:sz w:val="22"/>
          <w:szCs w:val="22"/>
          <w:lang w:val="be-BY"/>
        </w:rPr>
        <w:t>положителна стойност на ликвидността, т.е. готовност за посрещане на текущите задължения.</w:t>
      </w:r>
    </w:p>
    <w:p w14:paraId="6E1AC95D" w14:textId="77777777" w:rsidR="0023680B" w:rsidRDefault="0023680B" w:rsidP="0023680B">
      <w:pPr>
        <w:pStyle w:val="BodyText"/>
        <w:jc w:val="both"/>
        <w:rPr>
          <w:rFonts w:ascii="Calibri" w:hAnsi="Calibri"/>
          <w:color w:val="000000"/>
          <w:kern w:val="2"/>
          <w:sz w:val="22"/>
          <w:szCs w:val="22"/>
          <w:lang w:val="be-BY"/>
        </w:rPr>
      </w:pPr>
    </w:p>
    <w:p w14:paraId="07C42089" w14:textId="77777777" w:rsidR="0023680B" w:rsidRDefault="0023680B" w:rsidP="0023680B">
      <w:pPr>
        <w:pStyle w:val="BodyText"/>
        <w:jc w:val="both"/>
        <w:rPr>
          <w:rFonts w:ascii="Calibri" w:hAnsi="Calibri"/>
          <w:color w:val="000000"/>
          <w:kern w:val="2"/>
          <w:sz w:val="22"/>
          <w:szCs w:val="22"/>
          <w:lang w:val="be-BY"/>
        </w:rPr>
      </w:pPr>
    </w:p>
    <w:p w14:paraId="1DB6E1C2" w14:textId="3697079A" w:rsidR="0023680B" w:rsidRPr="00F32A0F" w:rsidRDefault="0023680B" w:rsidP="0023680B">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 xml:space="preserve">ПРАВИЛА И ПРОЦЕДУРИ ЗА ПРОЦЕСА НА ОЦЕНКА, ИЗТОЧНИЦИТЕ НА ПАЗАРНА ИНФОРМАЦИЯ И ПРЕЦЕНКА ЗА ТЯХНОТО СЪТВЕТСТВИЕ </w:t>
      </w:r>
    </w:p>
    <w:p w14:paraId="27F283CC" w14:textId="77777777" w:rsidR="0023680B" w:rsidRDefault="0023680B" w:rsidP="0023680B">
      <w:pPr>
        <w:pStyle w:val="BodyText"/>
        <w:jc w:val="both"/>
        <w:rPr>
          <w:rFonts w:ascii="Calibri" w:hAnsi="Calibri"/>
          <w:color w:val="000000"/>
          <w:kern w:val="2"/>
          <w:sz w:val="22"/>
          <w:szCs w:val="22"/>
          <w:lang w:val="be-BY"/>
        </w:rPr>
      </w:pPr>
    </w:p>
    <w:p w14:paraId="7E007124" w14:textId="7656204E" w:rsidR="0023680B" w:rsidRPr="0023680B" w:rsidRDefault="0023680B" w:rsidP="0023680B">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7. </w:t>
      </w:r>
      <w:r w:rsidRPr="0023680B">
        <w:rPr>
          <w:rFonts w:ascii="Calibri" w:hAnsi="Calibri"/>
          <w:color w:val="000000"/>
          <w:kern w:val="2"/>
          <w:sz w:val="22"/>
          <w:szCs w:val="22"/>
          <w:lang w:val="be-BY"/>
        </w:rPr>
        <w:t xml:space="preserve">(1) Инвестиционният посредник изгражда и поддържа системи и механизми, които гарантират достоверността и надеждността на оценките, свързани с </w:t>
      </w:r>
      <w:r w:rsidR="001D221A">
        <w:rPr>
          <w:rFonts w:ascii="Calibri" w:hAnsi="Calibri"/>
          <w:color w:val="000000"/>
          <w:kern w:val="2"/>
          <w:sz w:val="22"/>
          <w:szCs w:val="22"/>
          <w:lang w:val="be-BY"/>
        </w:rPr>
        <w:t>К</w:t>
      </w:r>
      <w:r>
        <w:rPr>
          <w:rFonts w:ascii="Calibri" w:hAnsi="Calibri"/>
          <w:color w:val="000000"/>
          <w:kern w:val="2"/>
          <w:sz w:val="22"/>
          <w:szCs w:val="22"/>
          <w:lang w:val="be-BY"/>
        </w:rPr>
        <w:t>лиентския</w:t>
      </w:r>
      <w:r w:rsidRPr="0023680B">
        <w:rPr>
          <w:rFonts w:ascii="Calibri" w:hAnsi="Calibri"/>
          <w:color w:val="000000"/>
          <w:kern w:val="2"/>
          <w:sz w:val="22"/>
          <w:szCs w:val="22"/>
          <w:lang w:val="be-BY"/>
        </w:rPr>
        <w:t xml:space="preserve"> портфейл.</w:t>
      </w:r>
    </w:p>
    <w:p w14:paraId="720164CB" w14:textId="77777777"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(2)</w:t>
      </w:r>
      <w:r w:rsidRPr="0023680B">
        <w:rPr>
          <w:rFonts w:ascii="Calibri" w:hAnsi="Calibri"/>
          <w:color w:val="000000"/>
          <w:kern w:val="2"/>
          <w:sz w:val="22"/>
          <w:szCs w:val="22"/>
          <w:lang w:val="be-BY"/>
        </w:rPr>
        <w:tab/>
        <w:t>Отговорностите, свързани с изготвянето на оценките, източниците на пазарна информация, честотата на независимо оценяване, часове и цени на затваряне за отделните позиции, детайлни процедури за коригиране на оценките и за месечно инцидентно потвърждаване на оценките на база на различните пазари, на които оперира инвестиционният посредник се разпределят, както следва:</w:t>
      </w:r>
    </w:p>
    <w:p w14:paraId="3A84A8B9" w14:textId="6786D88B"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1.</w:t>
      </w:r>
      <w:r w:rsidR="001D221A">
        <w:rPr>
          <w:rFonts w:ascii="Calibri" w:hAnsi="Calibri"/>
          <w:color w:val="000000"/>
          <w:kern w:val="2"/>
          <w:sz w:val="22"/>
          <w:szCs w:val="22"/>
          <w:lang w:val="be-BY"/>
        </w:rPr>
        <w:t xml:space="preserve"> </w:t>
      </w:r>
      <w:r w:rsidRPr="0023680B">
        <w:rPr>
          <w:rFonts w:ascii="Calibri" w:hAnsi="Calibri"/>
          <w:color w:val="000000"/>
          <w:kern w:val="2"/>
          <w:sz w:val="22"/>
          <w:szCs w:val="22"/>
          <w:lang w:val="be-BY"/>
        </w:rPr>
        <w:t>Акции, търгувани на пода на Българската фондова борса АД (БФБ):</w:t>
      </w:r>
    </w:p>
    <w:p w14:paraId="0E49871E" w14:textId="77777777"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а) Източник на пазарна информация е официалният ежедневен бюлетин на БФБ;</w:t>
      </w:r>
    </w:p>
    <w:p w14:paraId="35D14F6F" w14:textId="77777777"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б) Задължение за снемане и импортиране на информацията от Бюлетина на БФБ в счетоводно-информационната система на инвестиционния посредник има дежурният БФБ - брокер;</w:t>
      </w:r>
    </w:p>
    <w:p w14:paraId="39E11E61" w14:textId="568C14EA"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lastRenderedPageBreak/>
        <w:t xml:space="preserve">в) Честота на оценяване – </w:t>
      </w:r>
      <w:r w:rsidR="001D221A">
        <w:rPr>
          <w:rFonts w:ascii="Calibri" w:hAnsi="Calibri"/>
          <w:color w:val="000000"/>
          <w:kern w:val="2"/>
          <w:sz w:val="22"/>
          <w:szCs w:val="22"/>
          <w:lang w:val="be-BY"/>
        </w:rPr>
        <w:t xml:space="preserve">последен работен ден за месеца за БФБ, </w:t>
      </w:r>
      <w:r w:rsidRPr="0023680B">
        <w:rPr>
          <w:rFonts w:ascii="Calibri" w:hAnsi="Calibri"/>
          <w:color w:val="000000"/>
          <w:kern w:val="2"/>
          <w:sz w:val="22"/>
          <w:szCs w:val="22"/>
          <w:lang w:val="be-BY"/>
        </w:rPr>
        <w:t>след края на търговската сесия;</w:t>
      </w:r>
    </w:p>
    <w:p w14:paraId="18A94356" w14:textId="79CB6600"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г) Час на оценяване – след 17:00 ч. българско време, в зависимост от достъпността на Бюлетина на официалната интернет страница на БФБ;</w:t>
      </w:r>
    </w:p>
    <w:p w14:paraId="3088EBD9" w14:textId="77777777"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2.</w:t>
      </w:r>
      <w:r w:rsidRPr="0023680B">
        <w:rPr>
          <w:rFonts w:ascii="Calibri" w:hAnsi="Calibri"/>
          <w:color w:val="000000"/>
          <w:kern w:val="2"/>
          <w:sz w:val="22"/>
          <w:szCs w:val="22"/>
          <w:lang w:val="be-BY"/>
        </w:rPr>
        <w:tab/>
        <w:t>Чуждестранни акции:</w:t>
      </w:r>
    </w:p>
    <w:p w14:paraId="0FCCA0C1" w14:textId="77777777"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а) Източник на пазарна информация – Reuters, Bloomberg или друг достатъчно надежден източник на пазарна информация за финансови инструменти, търгувани на местния и международните пазари;</w:t>
      </w:r>
    </w:p>
    <w:p w14:paraId="383FB314" w14:textId="0E081550"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 xml:space="preserve">б) Задължение за снемане и импортиране на ценовата информация в счетоводно- информационната система на инвестиционния посредник – </w:t>
      </w:r>
      <w:r w:rsidR="001D221A">
        <w:rPr>
          <w:rFonts w:ascii="Calibri" w:hAnsi="Calibri"/>
          <w:color w:val="000000"/>
          <w:kern w:val="2"/>
          <w:sz w:val="22"/>
          <w:szCs w:val="22"/>
          <w:lang w:val="be-BY"/>
        </w:rPr>
        <w:t>отдел</w:t>
      </w:r>
      <w:r w:rsidRPr="0023680B">
        <w:rPr>
          <w:rFonts w:ascii="Calibri" w:hAnsi="Calibri"/>
          <w:color w:val="000000"/>
          <w:kern w:val="2"/>
          <w:sz w:val="22"/>
          <w:szCs w:val="22"/>
          <w:lang w:val="be-BY"/>
        </w:rPr>
        <w:t xml:space="preserve"> „</w:t>
      </w:r>
      <w:r w:rsidR="001D221A">
        <w:rPr>
          <w:rFonts w:ascii="Calibri" w:hAnsi="Calibri"/>
          <w:color w:val="000000"/>
          <w:kern w:val="2"/>
          <w:sz w:val="22"/>
          <w:szCs w:val="22"/>
          <w:lang w:val="be-BY"/>
        </w:rPr>
        <w:t>С</w:t>
      </w:r>
      <w:r w:rsidRPr="0023680B">
        <w:rPr>
          <w:rFonts w:ascii="Calibri" w:hAnsi="Calibri"/>
          <w:color w:val="000000"/>
          <w:kern w:val="2"/>
          <w:sz w:val="22"/>
          <w:szCs w:val="22"/>
          <w:lang w:val="be-BY"/>
        </w:rPr>
        <w:t>четоводство“</w:t>
      </w:r>
      <w:r w:rsidR="001D221A">
        <w:rPr>
          <w:rFonts w:ascii="Calibri" w:hAnsi="Calibri"/>
          <w:color w:val="000000"/>
          <w:kern w:val="2"/>
          <w:sz w:val="22"/>
          <w:szCs w:val="22"/>
          <w:lang w:val="be-BY"/>
        </w:rPr>
        <w:t xml:space="preserve"> и/или дежурен брокер</w:t>
      </w:r>
      <w:r w:rsidRPr="0023680B">
        <w:rPr>
          <w:rFonts w:ascii="Calibri" w:hAnsi="Calibri"/>
          <w:color w:val="000000"/>
          <w:kern w:val="2"/>
          <w:sz w:val="22"/>
          <w:szCs w:val="22"/>
          <w:lang w:val="be-BY"/>
        </w:rPr>
        <w:t>;</w:t>
      </w:r>
    </w:p>
    <w:p w14:paraId="7EC5CB1F" w14:textId="015B14B1" w:rsidR="0023680B" w:rsidRP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 xml:space="preserve">в) Честота на оценяване – </w:t>
      </w:r>
      <w:r w:rsidR="001D221A">
        <w:rPr>
          <w:rFonts w:ascii="Calibri" w:hAnsi="Calibri"/>
          <w:color w:val="000000"/>
          <w:kern w:val="2"/>
          <w:sz w:val="22"/>
          <w:szCs w:val="22"/>
          <w:lang w:val="be-BY"/>
        </w:rPr>
        <w:t xml:space="preserve">последен работен ден </w:t>
      </w:r>
      <w:r w:rsidRPr="0023680B">
        <w:rPr>
          <w:rFonts w:ascii="Calibri" w:hAnsi="Calibri"/>
          <w:color w:val="000000"/>
          <w:kern w:val="2"/>
          <w:sz w:val="22"/>
          <w:szCs w:val="22"/>
          <w:lang w:val="be-BY"/>
        </w:rPr>
        <w:t>за съответния регулиран пазар;</w:t>
      </w:r>
    </w:p>
    <w:p w14:paraId="13C69FD7" w14:textId="044122D0" w:rsidR="0023680B" w:rsidRPr="0023680B" w:rsidRDefault="001D221A" w:rsidP="0023680B">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г</w:t>
      </w:r>
      <w:r w:rsidR="0023680B" w:rsidRPr="0023680B">
        <w:rPr>
          <w:rFonts w:ascii="Calibri" w:hAnsi="Calibri"/>
          <w:color w:val="000000"/>
          <w:kern w:val="2"/>
          <w:sz w:val="22"/>
          <w:szCs w:val="22"/>
          <w:lang w:val="be-BY"/>
        </w:rPr>
        <w:t>) Цената, която се използва за преоценка на позициите е по - консервативния от курсовете „купува” или „продава”;</w:t>
      </w:r>
    </w:p>
    <w:p w14:paraId="162ED125" w14:textId="77777777" w:rsidR="0023680B" w:rsidRPr="0023680B" w:rsidRDefault="0023680B" w:rsidP="0023680B">
      <w:pPr>
        <w:pStyle w:val="BodyText"/>
        <w:jc w:val="both"/>
        <w:rPr>
          <w:rFonts w:ascii="Calibri" w:hAnsi="Calibri"/>
          <w:color w:val="000000"/>
          <w:kern w:val="2"/>
          <w:sz w:val="22"/>
          <w:szCs w:val="22"/>
          <w:lang w:val="be-BY"/>
        </w:rPr>
      </w:pPr>
    </w:p>
    <w:p w14:paraId="5E59F467" w14:textId="05573EA2" w:rsidR="0023680B" w:rsidRDefault="0023680B" w:rsidP="0023680B">
      <w:pPr>
        <w:pStyle w:val="BodyText"/>
        <w:jc w:val="both"/>
        <w:rPr>
          <w:rFonts w:ascii="Calibri" w:hAnsi="Calibri"/>
          <w:color w:val="000000"/>
          <w:kern w:val="2"/>
          <w:sz w:val="22"/>
          <w:szCs w:val="22"/>
          <w:lang w:val="be-BY"/>
        </w:rPr>
      </w:pPr>
      <w:r w:rsidRPr="0023680B">
        <w:rPr>
          <w:rFonts w:ascii="Calibri" w:hAnsi="Calibri"/>
          <w:color w:val="000000"/>
          <w:kern w:val="2"/>
          <w:sz w:val="22"/>
          <w:szCs w:val="22"/>
          <w:lang w:val="be-BY"/>
        </w:rPr>
        <w:t>Чл.</w:t>
      </w:r>
      <w:r w:rsidR="001D221A">
        <w:rPr>
          <w:rFonts w:ascii="Calibri" w:hAnsi="Calibri"/>
          <w:color w:val="000000"/>
          <w:kern w:val="2"/>
          <w:sz w:val="22"/>
          <w:szCs w:val="22"/>
          <w:lang w:val="be-BY"/>
        </w:rPr>
        <w:t xml:space="preserve"> 8.</w:t>
      </w:r>
      <w:r w:rsidRPr="0023680B">
        <w:rPr>
          <w:rFonts w:ascii="Calibri" w:hAnsi="Calibri"/>
          <w:color w:val="000000"/>
          <w:kern w:val="2"/>
          <w:sz w:val="22"/>
          <w:szCs w:val="22"/>
          <w:lang w:val="be-BY"/>
        </w:rPr>
        <w:t xml:space="preserve"> Финансовите активи, деноминирани в чуждестранна валута, се преизчисляват в левова равностойност, определена по централния курс на Българската народна банка, валиден за деня, за който се отнася оценката.</w:t>
      </w:r>
    </w:p>
    <w:p w14:paraId="6A1A8750" w14:textId="77777777" w:rsidR="001D221A" w:rsidRDefault="001D221A" w:rsidP="0023680B">
      <w:pPr>
        <w:pStyle w:val="BodyText"/>
        <w:jc w:val="both"/>
        <w:rPr>
          <w:rFonts w:ascii="Calibri" w:hAnsi="Calibri"/>
          <w:color w:val="000000"/>
          <w:kern w:val="2"/>
          <w:sz w:val="22"/>
          <w:szCs w:val="22"/>
          <w:lang w:val="be-BY"/>
        </w:rPr>
      </w:pPr>
    </w:p>
    <w:p w14:paraId="46D32F27" w14:textId="200EEDD9" w:rsidR="001D221A" w:rsidRPr="00F32A0F" w:rsidRDefault="001D221A" w:rsidP="001D221A">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 xml:space="preserve">РИСК ОТ КОНЦЕНТРАЦИЯ </w:t>
      </w:r>
    </w:p>
    <w:p w14:paraId="4582D286" w14:textId="77777777" w:rsidR="001D221A" w:rsidRDefault="001D221A" w:rsidP="0023680B">
      <w:pPr>
        <w:pStyle w:val="BodyText"/>
        <w:jc w:val="both"/>
        <w:rPr>
          <w:rFonts w:ascii="Calibri" w:hAnsi="Calibri"/>
          <w:color w:val="000000"/>
          <w:kern w:val="2"/>
          <w:sz w:val="22"/>
          <w:szCs w:val="22"/>
          <w:lang w:val="be-BY"/>
        </w:rPr>
      </w:pPr>
    </w:p>
    <w:p w14:paraId="5B6F23BC" w14:textId="77777777" w:rsidR="001D221A" w:rsidRPr="001D221A" w:rsidRDefault="001D221A" w:rsidP="001D221A">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9. </w:t>
      </w:r>
      <w:r w:rsidRPr="001D221A">
        <w:rPr>
          <w:rFonts w:ascii="Calibri" w:hAnsi="Calibri"/>
          <w:color w:val="000000"/>
          <w:kern w:val="2"/>
          <w:sz w:val="22"/>
          <w:szCs w:val="22"/>
          <w:lang w:val="be-BY"/>
        </w:rPr>
        <w:t>(1) Рискът от концентрация произтича непосредствено от неправилна диверсификация  и концентрация на рисковете в експозиции (в т.ч. големи непреки кредитни експозиции) към свързани лица или групи свързани контрагенти със сходни характеристики, чиято вероятност за неизпълнение зависи от общи фактори като: сектор, икономика, географско разположение, вид финансови инструменти. Риск от концентрация съществува и при прилагането на техники за редуциране на кредитен риск.</w:t>
      </w:r>
    </w:p>
    <w:p w14:paraId="393E5F0E" w14:textId="0CA73769" w:rsidR="001D221A" w:rsidRDefault="001D221A" w:rsidP="001D221A">
      <w:pPr>
        <w:pStyle w:val="BodyText"/>
        <w:jc w:val="both"/>
        <w:rPr>
          <w:rFonts w:ascii="Calibri" w:hAnsi="Calibri"/>
          <w:color w:val="000000"/>
          <w:kern w:val="2"/>
          <w:sz w:val="22"/>
          <w:szCs w:val="22"/>
          <w:lang w:val="be-BY"/>
        </w:rPr>
      </w:pPr>
      <w:r w:rsidRPr="001D221A">
        <w:rPr>
          <w:rFonts w:ascii="Calibri" w:hAnsi="Calibri"/>
          <w:color w:val="000000"/>
          <w:kern w:val="2"/>
          <w:sz w:val="22"/>
          <w:szCs w:val="22"/>
          <w:lang w:val="be-BY"/>
        </w:rPr>
        <w:t xml:space="preserve">(2) </w:t>
      </w:r>
      <w:r w:rsidR="00CE01CD">
        <w:rPr>
          <w:rFonts w:ascii="Calibri" w:hAnsi="Calibri"/>
          <w:color w:val="000000"/>
          <w:kern w:val="2"/>
          <w:sz w:val="22"/>
          <w:szCs w:val="22"/>
          <w:lang w:val="be-BY"/>
        </w:rPr>
        <w:t xml:space="preserve">Вътрешен контрол и отдел </w:t>
      </w:r>
      <w:r w:rsidRPr="001D221A">
        <w:rPr>
          <w:rFonts w:ascii="Calibri" w:hAnsi="Calibri"/>
          <w:color w:val="000000"/>
          <w:kern w:val="2"/>
          <w:sz w:val="22"/>
          <w:szCs w:val="22"/>
          <w:lang w:val="be-BY"/>
        </w:rPr>
        <w:t>„</w:t>
      </w:r>
      <w:r w:rsidR="00CE01CD">
        <w:rPr>
          <w:rFonts w:ascii="Calibri" w:hAnsi="Calibri"/>
          <w:color w:val="000000"/>
          <w:kern w:val="2"/>
          <w:sz w:val="22"/>
          <w:szCs w:val="22"/>
          <w:lang w:val="be-BY"/>
        </w:rPr>
        <w:t>С</w:t>
      </w:r>
      <w:r w:rsidRPr="001D221A">
        <w:rPr>
          <w:rFonts w:ascii="Calibri" w:hAnsi="Calibri"/>
          <w:color w:val="000000"/>
          <w:kern w:val="2"/>
          <w:sz w:val="22"/>
          <w:szCs w:val="22"/>
          <w:lang w:val="be-BY"/>
        </w:rPr>
        <w:t>четоводство“ следят ежедневно експозициите, изложени на риск от концентрация, каквито са непреките големи кредитни експозиции към отделен емитент на ценни книжа, приети като обезпечение.</w:t>
      </w:r>
    </w:p>
    <w:p w14:paraId="1CE8EA75" w14:textId="77777777" w:rsidR="00CE01CD" w:rsidRDefault="00CE01CD" w:rsidP="001D221A">
      <w:pPr>
        <w:pStyle w:val="BodyText"/>
        <w:jc w:val="both"/>
        <w:rPr>
          <w:rFonts w:ascii="Calibri" w:hAnsi="Calibri"/>
          <w:color w:val="000000"/>
          <w:kern w:val="2"/>
          <w:sz w:val="22"/>
          <w:szCs w:val="22"/>
          <w:lang w:val="be-BY"/>
        </w:rPr>
      </w:pPr>
    </w:p>
    <w:p w14:paraId="53B135A9" w14:textId="77777777" w:rsidR="00CE01CD" w:rsidRDefault="00CE01CD" w:rsidP="00CE01CD">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ОПЕРАЦИОНЕН РИСК</w:t>
      </w:r>
    </w:p>
    <w:p w14:paraId="32A2471B" w14:textId="1A51385E" w:rsidR="00CE01CD" w:rsidRPr="00F32A0F" w:rsidRDefault="00CE01CD" w:rsidP="00CE01CD">
      <w:pPr>
        <w:pStyle w:val="NoSpacing"/>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 xml:space="preserve"> </w:t>
      </w:r>
    </w:p>
    <w:p w14:paraId="3472B823" w14:textId="77777777" w:rsidR="00CE01CD" w:rsidRPr="00CE01CD" w:rsidRDefault="00CE01CD" w:rsidP="00CE01CD">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10. </w:t>
      </w:r>
      <w:r w:rsidRPr="00CE01CD">
        <w:rPr>
          <w:rFonts w:ascii="Calibri" w:hAnsi="Calibri"/>
          <w:color w:val="000000"/>
          <w:kern w:val="2"/>
          <w:sz w:val="22"/>
          <w:szCs w:val="22"/>
          <w:lang w:val="be-BY"/>
        </w:rPr>
        <w:t>(1) Операционният риск е рискът от загуба в резултат на неподходящи или неправилно структурирани вътрешни процеси и процедури, грешки на персонала при сключване на сделки с финансови инструменти и грешки от повреждане или срив на операционни системи или от външни събития, включително правен риск, ИТ-риск и риск от неспазване на правилата.</w:t>
      </w:r>
    </w:p>
    <w:p w14:paraId="300EE252"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(2)</w:t>
      </w:r>
      <w:r w:rsidRPr="00CE01CD">
        <w:rPr>
          <w:rFonts w:ascii="Calibri" w:hAnsi="Calibri"/>
          <w:color w:val="000000"/>
          <w:kern w:val="2"/>
          <w:sz w:val="22"/>
          <w:szCs w:val="22"/>
          <w:lang w:val="be-BY"/>
        </w:rPr>
        <w:tab/>
        <w:t>Операционно събитие е събитие, което може да доведе до отрицателен икономически резултат и/или до допълнителни разходи и/или отклонение на реализираните от очакваните резултати от дейността.</w:t>
      </w:r>
    </w:p>
    <w:p w14:paraId="460D21D4"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(3)</w:t>
      </w:r>
      <w:r w:rsidRPr="00CE01CD">
        <w:rPr>
          <w:rFonts w:ascii="Calibri" w:hAnsi="Calibri"/>
          <w:color w:val="000000"/>
          <w:kern w:val="2"/>
          <w:sz w:val="22"/>
          <w:szCs w:val="22"/>
          <w:lang w:val="be-BY"/>
        </w:rPr>
        <w:tab/>
        <w:t>Загуба от операционно събитие е финансовият ефект, свързан с проявление на операционни събития и подлежащ на оповестяване във финансовите отчети на инвестиционния посредник, включително пропуснати ползи.</w:t>
      </w:r>
    </w:p>
    <w:p w14:paraId="00D7AB25"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lastRenderedPageBreak/>
        <w:t>(4)</w:t>
      </w:r>
      <w:r w:rsidRPr="00CE01CD">
        <w:rPr>
          <w:rFonts w:ascii="Calibri" w:hAnsi="Calibri"/>
          <w:color w:val="000000"/>
          <w:kern w:val="2"/>
          <w:sz w:val="22"/>
          <w:szCs w:val="22"/>
          <w:lang w:val="be-BY"/>
        </w:rPr>
        <w:tab/>
        <w:t>Политиките и процедурите по установяване и мерките за управление на рисковете, свързани с дейностите, вътрешните процедури и системите на инвестиционния посредник включват:</w:t>
      </w:r>
    </w:p>
    <w:p w14:paraId="6CCD57D8" w14:textId="446E4621"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1.</w:t>
      </w:r>
      <w:r w:rsidRPr="00CE01CD">
        <w:rPr>
          <w:rFonts w:ascii="Calibri" w:hAnsi="Calibri"/>
          <w:color w:val="000000"/>
          <w:kern w:val="2"/>
          <w:sz w:val="22"/>
          <w:szCs w:val="22"/>
          <w:lang w:val="be-BY"/>
        </w:rPr>
        <w:tab/>
        <w:t>Събиране и анализ от страна на Комитета по риска на исторически данни за дейността на дружеството, свързани със реализирани от него загуби;</w:t>
      </w:r>
    </w:p>
    <w:p w14:paraId="1CAFFC86"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2.</w:t>
      </w:r>
      <w:r w:rsidRPr="00CE01CD">
        <w:rPr>
          <w:rFonts w:ascii="Calibri" w:hAnsi="Calibri"/>
          <w:color w:val="000000"/>
          <w:kern w:val="2"/>
          <w:sz w:val="22"/>
          <w:szCs w:val="22"/>
          <w:lang w:val="be-BY"/>
        </w:rPr>
        <w:tab/>
        <w:t>Определяне на събития, които могат да бъдат потенциални носители на операционен риск;</w:t>
      </w:r>
    </w:p>
    <w:p w14:paraId="267753DC" w14:textId="4D7A2B24"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3.</w:t>
      </w:r>
      <w:r w:rsidRPr="00CE01CD">
        <w:rPr>
          <w:rFonts w:ascii="Calibri" w:hAnsi="Calibri"/>
          <w:color w:val="000000"/>
          <w:kern w:val="2"/>
          <w:sz w:val="22"/>
          <w:szCs w:val="22"/>
          <w:lang w:val="be-BY"/>
        </w:rPr>
        <w:tab/>
        <w:t>Анализ на събитията и оценка на вредите, които могат да настъпят, и съпоставка с подобни ситуации в исторически аспект от оперативните звена съвместно с</w:t>
      </w:r>
      <w:r>
        <w:rPr>
          <w:rFonts w:ascii="Calibri" w:hAnsi="Calibri"/>
          <w:color w:val="000000"/>
          <w:kern w:val="2"/>
          <w:sz w:val="22"/>
          <w:szCs w:val="22"/>
          <w:lang w:val="be-BY"/>
        </w:rPr>
        <w:t xml:space="preserve"> Вътрешен контрол</w:t>
      </w:r>
      <w:r w:rsidRPr="00CE01CD">
        <w:rPr>
          <w:rFonts w:ascii="Calibri" w:hAnsi="Calibri"/>
          <w:color w:val="000000"/>
          <w:kern w:val="2"/>
          <w:sz w:val="22"/>
          <w:szCs w:val="22"/>
          <w:lang w:val="be-BY"/>
        </w:rPr>
        <w:t>;</w:t>
      </w:r>
    </w:p>
    <w:p w14:paraId="4AD8D4B8" w14:textId="5AD4555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4.</w:t>
      </w:r>
      <w:r w:rsidRPr="00CE01CD">
        <w:rPr>
          <w:rFonts w:ascii="Calibri" w:hAnsi="Calibri"/>
          <w:color w:val="000000"/>
          <w:kern w:val="2"/>
          <w:sz w:val="22"/>
          <w:szCs w:val="22"/>
          <w:lang w:val="be-BY"/>
        </w:rPr>
        <w:tab/>
        <w:t xml:space="preserve">Докладване чрез изпълнителните директори на Съвета на директорите с предложения от </w:t>
      </w:r>
      <w:r>
        <w:rPr>
          <w:rFonts w:ascii="Calibri" w:hAnsi="Calibri"/>
          <w:color w:val="000000"/>
          <w:kern w:val="2"/>
          <w:sz w:val="22"/>
          <w:szCs w:val="22"/>
          <w:lang w:val="be-BY"/>
        </w:rPr>
        <w:t>Вътрешен контрол</w:t>
      </w:r>
      <w:r w:rsidRPr="00CE01CD">
        <w:rPr>
          <w:rFonts w:ascii="Calibri" w:hAnsi="Calibri"/>
          <w:color w:val="000000"/>
          <w:kern w:val="2"/>
          <w:sz w:val="22"/>
          <w:szCs w:val="22"/>
          <w:lang w:val="be-BY"/>
        </w:rPr>
        <w:t xml:space="preserve"> за предприемане на конкретни мерки с оглед предотвратяване на операционен риск;</w:t>
      </w:r>
    </w:p>
    <w:p w14:paraId="7B6580B7" w14:textId="04FC1330"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5.</w:t>
      </w:r>
      <w:r w:rsidRPr="00CE01CD">
        <w:rPr>
          <w:rFonts w:ascii="Calibri" w:hAnsi="Calibri"/>
          <w:color w:val="000000"/>
          <w:kern w:val="2"/>
          <w:sz w:val="22"/>
          <w:szCs w:val="22"/>
          <w:lang w:val="be-BY"/>
        </w:rPr>
        <w:tab/>
        <w:t xml:space="preserve">Извършване на проверка на документооборота на дружеството от гледна точка на съответствие на договорите с клиентите и приложените документи с вътрешно-дружествените документи и действащото законодателство, съответствие на поведението на служителите в дружеството при работа с клиенти с изискванията, посочени във вътрешно - дружествените документи или в действащите нормативни актове от </w:t>
      </w:r>
      <w:r>
        <w:rPr>
          <w:rFonts w:ascii="Calibri" w:hAnsi="Calibri"/>
          <w:color w:val="000000"/>
          <w:kern w:val="2"/>
          <w:sz w:val="22"/>
          <w:szCs w:val="22"/>
          <w:lang w:val="be-BY"/>
        </w:rPr>
        <w:t>Вътрешен контрол</w:t>
      </w:r>
      <w:r w:rsidRPr="00CE01CD">
        <w:rPr>
          <w:rFonts w:ascii="Calibri" w:hAnsi="Calibri"/>
          <w:color w:val="000000"/>
          <w:kern w:val="2"/>
          <w:sz w:val="22"/>
          <w:szCs w:val="22"/>
          <w:lang w:val="be-BY"/>
        </w:rPr>
        <w:t>;</w:t>
      </w:r>
    </w:p>
    <w:p w14:paraId="0007DF93"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(5)</w:t>
      </w:r>
      <w:r w:rsidRPr="00CE01CD">
        <w:rPr>
          <w:rFonts w:ascii="Calibri" w:hAnsi="Calibri"/>
          <w:color w:val="000000"/>
          <w:kern w:val="2"/>
          <w:sz w:val="22"/>
          <w:szCs w:val="22"/>
          <w:lang w:val="be-BY"/>
        </w:rPr>
        <w:tab/>
        <w:t>Съвета на директорите прави преглед и оценка на политиките и процедурите по установяване и мерките за управление на рисковете, свързани с дейностите, вътрешните процедури и системите на инвестиционния посредник по предходната алинея най-малко веднъж годишно или при констатиране на необходимост от изменения и допълнения на политиките и процедурите.</w:t>
      </w:r>
    </w:p>
    <w:p w14:paraId="4918BDE1"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(6)</w:t>
      </w:r>
      <w:r w:rsidRPr="00CE01CD">
        <w:rPr>
          <w:rFonts w:ascii="Calibri" w:hAnsi="Calibri"/>
          <w:color w:val="000000"/>
          <w:kern w:val="2"/>
          <w:sz w:val="22"/>
          <w:szCs w:val="22"/>
          <w:lang w:val="be-BY"/>
        </w:rPr>
        <w:tab/>
        <w:t>Капиталовото изискване за операционен риск на инвестиционния посредник се изчислява съгласно подхода на базисния индикатор.</w:t>
      </w:r>
    </w:p>
    <w:p w14:paraId="55393269" w14:textId="67E5B402"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(7)</w:t>
      </w:r>
      <w:r w:rsidRPr="00CE01CD">
        <w:rPr>
          <w:rFonts w:ascii="Calibri" w:hAnsi="Calibri"/>
          <w:color w:val="000000"/>
          <w:kern w:val="2"/>
          <w:sz w:val="22"/>
          <w:szCs w:val="22"/>
          <w:lang w:val="be-BY"/>
        </w:rPr>
        <w:tab/>
      </w:r>
      <w:r>
        <w:rPr>
          <w:rFonts w:ascii="Calibri" w:hAnsi="Calibri"/>
          <w:color w:val="000000"/>
          <w:kern w:val="2"/>
          <w:sz w:val="22"/>
          <w:szCs w:val="22"/>
          <w:lang w:val="be-BY"/>
        </w:rPr>
        <w:t>Вътрешен контрол</w:t>
      </w:r>
      <w:r w:rsidRPr="00CE01CD">
        <w:rPr>
          <w:rFonts w:ascii="Calibri" w:hAnsi="Calibri"/>
          <w:color w:val="000000"/>
          <w:kern w:val="2"/>
          <w:sz w:val="22"/>
          <w:szCs w:val="22"/>
          <w:lang w:val="be-BY"/>
        </w:rPr>
        <w:t xml:space="preserve"> въз основа на анализ на групите дейности, извършвани от инвестиционния посредник може да предложи на Съвета на директорите да бъде отправено мотивирано искане до заместник-председателя на Комисията по финансов надзор, ръководещ управление „Надзор на инвестиционната дейност” за разрешение при изчисляване на капиталовите изисквания за операционен риск на инвестиционния посредник да бъде използван стандартизирания подход за изчисляване на капиталовите изисквания за операционния риск.</w:t>
      </w:r>
    </w:p>
    <w:p w14:paraId="0E4FCD2D"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 xml:space="preserve"> </w:t>
      </w:r>
    </w:p>
    <w:p w14:paraId="267EE176" w14:textId="5EA4E372"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 xml:space="preserve">Чл. </w:t>
      </w:r>
      <w:r>
        <w:rPr>
          <w:rFonts w:ascii="Calibri" w:hAnsi="Calibri"/>
          <w:color w:val="000000"/>
          <w:kern w:val="2"/>
          <w:sz w:val="22"/>
          <w:szCs w:val="22"/>
          <w:lang w:val="be-BY"/>
        </w:rPr>
        <w:t>11</w:t>
      </w:r>
      <w:r w:rsidRPr="00CE01CD">
        <w:rPr>
          <w:rFonts w:ascii="Calibri" w:hAnsi="Calibri"/>
          <w:color w:val="000000"/>
          <w:kern w:val="2"/>
          <w:sz w:val="22"/>
          <w:szCs w:val="22"/>
          <w:lang w:val="be-BY"/>
        </w:rPr>
        <w:t>. (1) Във връзка с изчисляване на капиталовите изисквания за операционен риск съгласно подхода на базисния индикатор, инвестиционният посредник разпределя приходите и разходите си по отделни групи дейности въз основа на данните за три предходни календарни финансови години.</w:t>
      </w:r>
    </w:p>
    <w:p w14:paraId="6C9C227D" w14:textId="76B686D8"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(2)</w:t>
      </w:r>
      <w:r w:rsidRPr="00CE01CD">
        <w:rPr>
          <w:rFonts w:ascii="Calibri" w:hAnsi="Calibri"/>
          <w:color w:val="000000"/>
          <w:kern w:val="2"/>
          <w:sz w:val="22"/>
          <w:szCs w:val="22"/>
          <w:lang w:val="be-BY"/>
        </w:rPr>
        <w:tab/>
        <w:t>Изчисляването на базисните индикатори за три предходни финансови години се извършва на база на следните елементи (с положителен или отрицателен знак):</w:t>
      </w:r>
    </w:p>
    <w:p w14:paraId="3CE3FF36"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1.</w:t>
      </w:r>
      <w:r w:rsidRPr="00CE01CD">
        <w:rPr>
          <w:rFonts w:ascii="Calibri" w:hAnsi="Calibri"/>
          <w:color w:val="000000"/>
          <w:kern w:val="2"/>
          <w:sz w:val="22"/>
          <w:szCs w:val="22"/>
          <w:lang w:val="be-BY"/>
        </w:rPr>
        <w:tab/>
        <w:t>Вземания по лихви и други подобни;</w:t>
      </w:r>
    </w:p>
    <w:p w14:paraId="11C28061"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2.</w:t>
      </w:r>
      <w:r w:rsidRPr="00CE01CD">
        <w:rPr>
          <w:rFonts w:ascii="Calibri" w:hAnsi="Calibri"/>
          <w:color w:val="000000"/>
          <w:kern w:val="2"/>
          <w:sz w:val="22"/>
          <w:szCs w:val="22"/>
          <w:lang w:val="be-BY"/>
        </w:rPr>
        <w:tab/>
        <w:t>Задължения по лихви и други подобни;</w:t>
      </w:r>
    </w:p>
    <w:p w14:paraId="6DC3C0D5"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3.</w:t>
      </w:r>
      <w:r w:rsidRPr="00CE01CD">
        <w:rPr>
          <w:rFonts w:ascii="Calibri" w:hAnsi="Calibri"/>
          <w:color w:val="000000"/>
          <w:kern w:val="2"/>
          <w:sz w:val="22"/>
          <w:szCs w:val="22"/>
          <w:lang w:val="be-BY"/>
        </w:rPr>
        <w:tab/>
        <w:t>Доход от акции и други ценни книжа с променлива/фиксирана доходност;</w:t>
      </w:r>
    </w:p>
    <w:p w14:paraId="09C9A30B"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4.</w:t>
      </w:r>
      <w:r w:rsidRPr="00CE01CD">
        <w:rPr>
          <w:rFonts w:ascii="Calibri" w:hAnsi="Calibri"/>
          <w:color w:val="000000"/>
          <w:kern w:val="2"/>
          <w:sz w:val="22"/>
          <w:szCs w:val="22"/>
          <w:lang w:val="be-BY"/>
        </w:rPr>
        <w:tab/>
        <w:t>Вземания от комисионни и такси;</w:t>
      </w:r>
    </w:p>
    <w:p w14:paraId="1780939F"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5.</w:t>
      </w:r>
      <w:r w:rsidRPr="00CE01CD">
        <w:rPr>
          <w:rFonts w:ascii="Calibri" w:hAnsi="Calibri"/>
          <w:color w:val="000000"/>
          <w:kern w:val="2"/>
          <w:sz w:val="22"/>
          <w:szCs w:val="22"/>
          <w:lang w:val="be-BY"/>
        </w:rPr>
        <w:tab/>
        <w:t>Задължения по комисионни и такси;</w:t>
      </w:r>
    </w:p>
    <w:p w14:paraId="3AABFE33"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6.</w:t>
      </w:r>
      <w:r w:rsidRPr="00CE01CD">
        <w:rPr>
          <w:rFonts w:ascii="Calibri" w:hAnsi="Calibri"/>
          <w:color w:val="000000"/>
          <w:kern w:val="2"/>
          <w:sz w:val="22"/>
          <w:szCs w:val="22"/>
          <w:lang w:val="be-BY"/>
        </w:rPr>
        <w:tab/>
        <w:t>Нетна печалба или нетна загуба от финансови операции;</w:t>
      </w:r>
    </w:p>
    <w:p w14:paraId="7343B048"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7.</w:t>
      </w:r>
      <w:r w:rsidRPr="00CE01CD">
        <w:rPr>
          <w:rFonts w:ascii="Calibri" w:hAnsi="Calibri"/>
          <w:color w:val="000000"/>
          <w:kern w:val="2"/>
          <w:sz w:val="22"/>
          <w:szCs w:val="22"/>
          <w:lang w:val="be-BY"/>
        </w:rPr>
        <w:tab/>
        <w:t>Други оперативни доходи.</w:t>
      </w:r>
    </w:p>
    <w:p w14:paraId="2FDC547F" w14:textId="06CEBE7C" w:rsid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lastRenderedPageBreak/>
        <w:t>(3)</w:t>
      </w:r>
      <w:r w:rsidRPr="00CE01CD">
        <w:rPr>
          <w:rFonts w:ascii="Calibri" w:hAnsi="Calibri"/>
          <w:color w:val="000000"/>
          <w:kern w:val="2"/>
          <w:sz w:val="22"/>
          <w:szCs w:val="22"/>
          <w:lang w:val="be-BY"/>
        </w:rPr>
        <w:tab/>
        <w:t>При изчисляване на капиталовото изискване за операционен риск, инвестиционния посредник не включва доходите от извънредни/нерегулярни източници и от застрахователни обезщетения.</w:t>
      </w:r>
    </w:p>
    <w:p w14:paraId="25ADC16D" w14:textId="77777777" w:rsidR="00CE01CD" w:rsidRDefault="00CE01CD" w:rsidP="00CE01CD">
      <w:pPr>
        <w:pStyle w:val="BodyText"/>
        <w:jc w:val="both"/>
        <w:rPr>
          <w:rFonts w:ascii="Calibri" w:hAnsi="Calibri"/>
          <w:color w:val="000000"/>
          <w:kern w:val="2"/>
          <w:sz w:val="22"/>
          <w:szCs w:val="22"/>
          <w:lang w:val="be-BY"/>
        </w:rPr>
      </w:pPr>
    </w:p>
    <w:p w14:paraId="3DFDB832" w14:textId="639D8AAE" w:rsidR="00CE01CD" w:rsidRDefault="00CE01CD" w:rsidP="00CE01CD">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ОСТАТЪЧЕН РИСК</w:t>
      </w:r>
    </w:p>
    <w:p w14:paraId="599C7E56" w14:textId="77777777" w:rsidR="00CE01CD" w:rsidRPr="00CE01CD" w:rsidRDefault="00CE01CD" w:rsidP="00CE01CD">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12. </w:t>
      </w:r>
      <w:r w:rsidRPr="00CE01CD">
        <w:rPr>
          <w:rFonts w:ascii="Calibri" w:hAnsi="Calibri"/>
          <w:color w:val="000000"/>
          <w:kern w:val="2"/>
          <w:sz w:val="22"/>
          <w:szCs w:val="22"/>
          <w:lang w:val="be-BY"/>
        </w:rPr>
        <w:t>(1) Инвестиционният посредник следи и контролира остатъчния риск, възникващ, когато признати техники за измерване и редуциране на кредитния риск, използвани от инвестиционния посредник, се окажат по-малко ефективни от очакваното.</w:t>
      </w:r>
    </w:p>
    <w:p w14:paraId="63A797E9" w14:textId="032C786F"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(2)</w:t>
      </w:r>
      <w:r w:rsidRPr="00CE01CD">
        <w:rPr>
          <w:rFonts w:ascii="Calibri" w:hAnsi="Calibri"/>
          <w:color w:val="000000"/>
          <w:kern w:val="2"/>
          <w:sz w:val="22"/>
          <w:szCs w:val="22"/>
          <w:lang w:val="be-BY"/>
        </w:rPr>
        <w:tab/>
        <w:t>Когато се отчита редуциране на кредитния риск или на очакваната загуба, инвестиционният посредник извършва и цялостна оценка на кредитния риск на базисната експозиция.</w:t>
      </w:r>
    </w:p>
    <w:p w14:paraId="2F7BAA59"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(3)</w:t>
      </w:r>
      <w:r w:rsidRPr="00CE01CD">
        <w:rPr>
          <w:rFonts w:ascii="Calibri" w:hAnsi="Calibri"/>
          <w:color w:val="000000"/>
          <w:kern w:val="2"/>
          <w:sz w:val="22"/>
          <w:szCs w:val="22"/>
          <w:lang w:val="be-BY"/>
        </w:rPr>
        <w:tab/>
        <w:t>За изчисляване на рисково-претеглените експозиции по стандартизирания подход за кредитен риск инвестиционният посредник може да отчита редуциране на кредитния риск, когато са изпълнени нормативните изисквания.</w:t>
      </w:r>
    </w:p>
    <w:p w14:paraId="3642F6F8"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(4)</w:t>
      </w:r>
      <w:r w:rsidRPr="00CE01CD">
        <w:rPr>
          <w:rFonts w:ascii="Calibri" w:hAnsi="Calibri"/>
          <w:color w:val="000000"/>
          <w:kern w:val="2"/>
          <w:sz w:val="22"/>
          <w:szCs w:val="22"/>
          <w:lang w:val="be-BY"/>
        </w:rPr>
        <w:tab/>
        <w:t>Експозиция с призната кредитна защита не може да получи по-високо рисково тегло, отколкото без признаване на защитата.</w:t>
      </w:r>
    </w:p>
    <w:p w14:paraId="42094B61"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(5)</w:t>
      </w:r>
      <w:r w:rsidRPr="00CE01CD">
        <w:rPr>
          <w:rFonts w:ascii="Calibri" w:hAnsi="Calibri"/>
          <w:color w:val="000000"/>
          <w:kern w:val="2"/>
          <w:sz w:val="22"/>
          <w:szCs w:val="22"/>
          <w:lang w:val="be-BY"/>
        </w:rPr>
        <w:tab/>
        <w:t>Техниките, използвани за доставка на кредитна защита, действията и предприетите стъпки следва да осигуряват споразумения за кредитна защита, които са правно валидни и изпълними във всяка относима юрисдикция.</w:t>
      </w:r>
    </w:p>
    <w:p w14:paraId="799DA66C"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(6)</w:t>
      </w:r>
      <w:r w:rsidRPr="00CE01CD">
        <w:rPr>
          <w:rFonts w:ascii="Calibri" w:hAnsi="Calibri"/>
          <w:color w:val="000000"/>
          <w:kern w:val="2"/>
          <w:sz w:val="22"/>
          <w:szCs w:val="22"/>
          <w:lang w:val="be-BY"/>
        </w:rPr>
        <w:tab/>
        <w:t>Инвестиционният посредник предприема подходящи действия за осигуряване на ефективността на споразуменията за кредитна защита.</w:t>
      </w:r>
    </w:p>
    <w:p w14:paraId="30066370" w14:textId="77777777" w:rsidR="00CE01CD" w:rsidRP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(7)</w:t>
      </w:r>
      <w:r w:rsidRPr="00CE01CD">
        <w:rPr>
          <w:rFonts w:ascii="Calibri" w:hAnsi="Calibri"/>
          <w:color w:val="000000"/>
          <w:kern w:val="2"/>
          <w:sz w:val="22"/>
          <w:szCs w:val="22"/>
          <w:lang w:val="be-BY"/>
        </w:rPr>
        <w:tab/>
        <w:t>В случай на обезпечена кредитна защита активите, които се признават за обезпечение, трябва да са достатъчно ликвидни и тяхната стойност в дългосрочен план да е толкова надеждна, че да осигури ефективност на кредитната защита, като се вземе предвид използвания метод за изчисляване на стойността на рисково - претеглените експозции и допустимата степен на признаване на активите.</w:t>
      </w:r>
    </w:p>
    <w:p w14:paraId="2096502C" w14:textId="0021903D" w:rsidR="00CE01CD" w:rsidRDefault="00CE01CD" w:rsidP="00CE01CD">
      <w:pPr>
        <w:pStyle w:val="BodyText"/>
        <w:jc w:val="both"/>
        <w:rPr>
          <w:rFonts w:ascii="Calibri" w:hAnsi="Calibri"/>
          <w:color w:val="000000"/>
          <w:kern w:val="2"/>
          <w:sz w:val="22"/>
          <w:szCs w:val="22"/>
          <w:lang w:val="be-BY"/>
        </w:rPr>
      </w:pPr>
      <w:r w:rsidRPr="00CE01CD">
        <w:rPr>
          <w:rFonts w:ascii="Calibri" w:hAnsi="Calibri"/>
          <w:color w:val="000000"/>
          <w:kern w:val="2"/>
          <w:sz w:val="22"/>
          <w:szCs w:val="22"/>
          <w:lang w:val="be-BY"/>
        </w:rPr>
        <w:t>(8)</w:t>
      </w:r>
      <w:r w:rsidRPr="00CE01CD">
        <w:rPr>
          <w:rFonts w:ascii="Calibri" w:hAnsi="Calibri"/>
          <w:color w:val="000000"/>
          <w:kern w:val="2"/>
          <w:sz w:val="22"/>
          <w:szCs w:val="22"/>
          <w:lang w:val="be-BY"/>
        </w:rPr>
        <w:tab/>
        <w:t>В случай на обезпечена кредитна защита инвестиционният посредник - заемодател има право на бърза реализация или на задържане на активите, използвани за защита на заемите в случай на неизпълнение на задължението, неплатежоспособност или несъстоятелност на длъжника или друго кредитно събитие, определено в документите по сделката. Когато е подходящо, същите действия се предприемат срещу попечителя на обезпечението. Степента на корелация между стойността на активите, използвани за защита, и кредитното качество на длъжника не трябва да е прекомерна.</w:t>
      </w:r>
    </w:p>
    <w:p w14:paraId="6D3F5498" w14:textId="77777777" w:rsidR="00CE01CD" w:rsidRDefault="00CE01CD" w:rsidP="00CE01CD">
      <w:pPr>
        <w:pStyle w:val="BodyText"/>
        <w:jc w:val="both"/>
        <w:rPr>
          <w:rFonts w:ascii="Calibri" w:hAnsi="Calibri"/>
          <w:color w:val="000000"/>
          <w:kern w:val="2"/>
          <w:sz w:val="22"/>
          <w:szCs w:val="22"/>
          <w:lang w:val="be-BY"/>
        </w:rPr>
      </w:pPr>
    </w:p>
    <w:p w14:paraId="19D8F8B4" w14:textId="48293BC0" w:rsidR="00CE01CD" w:rsidRDefault="005E736E" w:rsidP="00CE01CD">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ЛИКВИДЕН</w:t>
      </w:r>
      <w:r w:rsidR="00CE01CD">
        <w:rPr>
          <w:rFonts w:cs="Calibri"/>
          <w:b/>
          <w:bCs/>
          <w:sz w:val="24"/>
          <w:szCs w:val="24"/>
          <w:lang w:val="bg-BG" w:eastAsia="bg-BG"/>
          <w14:shadow w14:blurRad="50800" w14:dist="38100" w14:dir="2700000" w14:sx="100000" w14:sy="100000" w14:kx="0" w14:ky="0" w14:algn="tl">
            <w14:srgbClr w14:val="000000">
              <w14:alpha w14:val="60000"/>
            </w14:srgbClr>
          </w14:shadow>
        </w:rPr>
        <w:t xml:space="preserve"> РИСК</w:t>
      </w:r>
    </w:p>
    <w:p w14:paraId="697C68A3" w14:textId="77777777" w:rsidR="005E736E" w:rsidRPr="005E736E" w:rsidRDefault="00CE01CD" w:rsidP="005E736E">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13. </w:t>
      </w:r>
      <w:r w:rsidR="005E736E" w:rsidRPr="005E736E">
        <w:rPr>
          <w:rFonts w:ascii="Calibri" w:hAnsi="Calibri"/>
          <w:color w:val="000000"/>
          <w:kern w:val="2"/>
          <w:sz w:val="22"/>
          <w:szCs w:val="22"/>
          <w:lang w:val="be-BY"/>
        </w:rPr>
        <w:t>(1) Ликвидният риск, наричан още риск на финансирането е този, при който инвестиционният посредник ще срещне трудности или ще реализира загуби при набавяне на финансови средства, необходими за своевременното изпълнение на падежиращи задължения и ангажименти, свързани с дейността му. Причина за ликвидния риск може да бъде невъзможността да се реализира бързо финансов актив на стойност, близка до справедливата му стойност.</w:t>
      </w:r>
    </w:p>
    <w:p w14:paraId="64C7168B" w14:textId="10B1C6F4" w:rsidR="005E736E" w:rsidRPr="005E736E" w:rsidRDefault="005E736E" w:rsidP="005E736E">
      <w:pPr>
        <w:pStyle w:val="BodyText"/>
        <w:jc w:val="both"/>
        <w:rPr>
          <w:rFonts w:ascii="Calibri" w:hAnsi="Calibri"/>
          <w:color w:val="000000"/>
          <w:kern w:val="2"/>
          <w:sz w:val="22"/>
          <w:szCs w:val="22"/>
          <w:lang w:val="be-BY"/>
        </w:rPr>
      </w:pPr>
      <w:r w:rsidRPr="005E736E">
        <w:rPr>
          <w:rFonts w:ascii="Calibri" w:hAnsi="Calibri"/>
          <w:color w:val="000000"/>
          <w:kern w:val="2"/>
          <w:sz w:val="22"/>
          <w:szCs w:val="22"/>
          <w:lang w:val="be-BY"/>
        </w:rPr>
        <w:t xml:space="preserve">(2) </w:t>
      </w:r>
      <w:r>
        <w:rPr>
          <w:rFonts w:ascii="Calibri" w:hAnsi="Calibri"/>
          <w:color w:val="000000"/>
          <w:kern w:val="2"/>
          <w:sz w:val="22"/>
          <w:szCs w:val="22"/>
          <w:lang w:val="be-BY"/>
        </w:rPr>
        <w:t>Вътрешен контрол</w:t>
      </w:r>
      <w:r w:rsidRPr="005E736E">
        <w:rPr>
          <w:rFonts w:ascii="Calibri" w:hAnsi="Calibri"/>
          <w:color w:val="000000"/>
          <w:kern w:val="2"/>
          <w:sz w:val="22"/>
          <w:szCs w:val="22"/>
          <w:lang w:val="be-BY"/>
        </w:rPr>
        <w:t xml:space="preserve"> извършва периодичен анализ на матуритетната структура на активите и пасивите на инвестиционния посредник в лева и валута, и предлага на изпълнителните директори мерки за минимизиране на ликвидния </w:t>
      </w:r>
      <w:r>
        <w:rPr>
          <w:rFonts w:ascii="Calibri" w:hAnsi="Calibri"/>
          <w:color w:val="000000"/>
          <w:kern w:val="2"/>
          <w:sz w:val="22"/>
          <w:szCs w:val="22"/>
          <w:lang w:val="be-BY"/>
        </w:rPr>
        <w:t>риск</w:t>
      </w:r>
      <w:r w:rsidRPr="005E736E">
        <w:rPr>
          <w:rFonts w:ascii="Calibri" w:hAnsi="Calibri"/>
          <w:color w:val="000000"/>
          <w:kern w:val="2"/>
          <w:sz w:val="22"/>
          <w:szCs w:val="22"/>
          <w:lang w:val="be-BY"/>
        </w:rPr>
        <w:t>.</w:t>
      </w:r>
    </w:p>
    <w:p w14:paraId="44B8D0D3" w14:textId="77777777" w:rsidR="005E736E" w:rsidRPr="005E736E" w:rsidRDefault="005E736E" w:rsidP="005E736E">
      <w:pPr>
        <w:pStyle w:val="BodyText"/>
        <w:jc w:val="both"/>
        <w:rPr>
          <w:rFonts w:ascii="Calibri" w:hAnsi="Calibri"/>
          <w:color w:val="000000"/>
          <w:kern w:val="2"/>
          <w:sz w:val="22"/>
          <w:szCs w:val="22"/>
          <w:lang w:val="be-BY"/>
        </w:rPr>
      </w:pPr>
    </w:p>
    <w:p w14:paraId="790D2F4B" w14:textId="5F2475BC" w:rsidR="00CE01CD" w:rsidRDefault="005E736E" w:rsidP="005E736E">
      <w:pPr>
        <w:pStyle w:val="BodyText"/>
        <w:jc w:val="both"/>
        <w:rPr>
          <w:rFonts w:ascii="Calibri" w:hAnsi="Calibri"/>
          <w:color w:val="000000"/>
          <w:kern w:val="2"/>
          <w:sz w:val="22"/>
          <w:szCs w:val="22"/>
          <w:lang w:val="be-BY"/>
        </w:rPr>
      </w:pPr>
      <w:r>
        <w:rPr>
          <w:rFonts w:ascii="Calibri" w:hAnsi="Calibri"/>
          <w:color w:val="000000"/>
          <w:kern w:val="2"/>
          <w:sz w:val="22"/>
          <w:szCs w:val="22"/>
          <w:lang w:val="be-BY"/>
        </w:rPr>
        <w:lastRenderedPageBreak/>
        <w:t>Чл. 14. Вътрешен контрол</w:t>
      </w:r>
      <w:r w:rsidRPr="005E736E">
        <w:rPr>
          <w:rFonts w:ascii="Calibri" w:hAnsi="Calibri"/>
          <w:color w:val="000000"/>
          <w:kern w:val="2"/>
          <w:sz w:val="22"/>
          <w:szCs w:val="22"/>
          <w:lang w:val="be-BY"/>
        </w:rPr>
        <w:t xml:space="preserve"> следи за спазване на изискванията по чл. 19 от Наредба 50 относно паричните средства на инвестиционния посредник. Собствените парични средства на инвестиционния посредник могат да бъдат държани на каса или по разплащателни или депозитни сметки в банка, която не е в производство по несъстоятелност или поставена под специален надзор, в съответствие с чл. 43 от Регламент (ЕС) 2019/2033. Собствените парични средства на инвестиционния посредник по разплащателни или депозитни сметки в банка трябва да бъдат в размер не по-малък от 70 на сто от всички парични средства на инвестиционния посредник. Паричните средства на клиенти се държат в съответствие с чл. 93 от ЗПФИ. В случай на доближаване на максимално допустимата стойност от 30 процента за държане на парични средства на каса от общите парични средства, </w:t>
      </w:r>
      <w:r>
        <w:rPr>
          <w:rFonts w:ascii="Calibri" w:hAnsi="Calibri"/>
          <w:color w:val="000000"/>
          <w:kern w:val="2"/>
          <w:sz w:val="22"/>
          <w:szCs w:val="22"/>
          <w:lang w:val="be-BY"/>
        </w:rPr>
        <w:t xml:space="preserve">Вътрешенконтрол </w:t>
      </w:r>
      <w:r w:rsidRPr="005E736E">
        <w:rPr>
          <w:rFonts w:ascii="Calibri" w:hAnsi="Calibri"/>
          <w:color w:val="000000"/>
          <w:kern w:val="2"/>
          <w:sz w:val="22"/>
          <w:szCs w:val="22"/>
          <w:lang w:val="be-BY"/>
        </w:rPr>
        <w:t>незабавно информира изпълнителните директори на инвестиционния посредник за предприемане на коригиращи действия. Собствените парични средства по разплащателни или депозитни сметки в банка, с които инвестиционният посредник може да се разпорежда по всяко време, трябва да бъдат в размер не по-малък от 70 на сто от всички парични средства, като инвестиционният посредник предприема действия за тяхното диверсифициране.</w:t>
      </w:r>
    </w:p>
    <w:p w14:paraId="62B6CCBA" w14:textId="77777777" w:rsidR="00CE01CD" w:rsidRDefault="00CE01CD" w:rsidP="00CE01CD">
      <w:pPr>
        <w:pStyle w:val="BodyText"/>
        <w:jc w:val="both"/>
        <w:rPr>
          <w:rFonts w:ascii="Calibri" w:hAnsi="Calibri"/>
          <w:color w:val="000000"/>
          <w:kern w:val="2"/>
          <w:sz w:val="22"/>
          <w:szCs w:val="22"/>
          <w:lang w:val="be-BY"/>
        </w:rPr>
      </w:pPr>
    </w:p>
    <w:p w14:paraId="764031DA" w14:textId="58569AE1" w:rsidR="005E736E" w:rsidRDefault="005E736E" w:rsidP="005E736E">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ГОЛЕМИ ЕКСПОЗИЦИИ</w:t>
      </w:r>
    </w:p>
    <w:p w14:paraId="5E0756A5" w14:textId="4D943298" w:rsidR="00963296" w:rsidRPr="00963296" w:rsidRDefault="005E736E" w:rsidP="00963296">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15. </w:t>
      </w:r>
      <w:r w:rsidR="00963296" w:rsidRPr="00963296">
        <w:rPr>
          <w:rFonts w:ascii="Calibri" w:hAnsi="Calibri"/>
          <w:color w:val="000000"/>
          <w:kern w:val="2"/>
          <w:sz w:val="22"/>
          <w:szCs w:val="22"/>
          <w:lang w:val="be-BY"/>
        </w:rPr>
        <w:t xml:space="preserve">Голяма експозиция е актив или задбалансова позиция, без прилагане на рисковите им тегла, спрямо приемливия капитал (базовия капитал от първи ред плюс базовия капитал от втори ред), ако това съотношение е по-голямо или равно на 10 процента. </w:t>
      </w:r>
    </w:p>
    <w:p w14:paraId="74E94B8E" w14:textId="720A0342"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 xml:space="preserve">Чл. </w:t>
      </w:r>
      <w:r>
        <w:rPr>
          <w:rFonts w:ascii="Calibri" w:hAnsi="Calibri"/>
          <w:color w:val="000000"/>
          <w:kern w:val="2"/>
          <w:sz w:val="22"/>
          <w:szCs w:val="22"/>
          <w:lang w:val="en-US"/>
        </w:rPr>
        <w:t>16</w:t>
      </w:r>
      <w:r w:rsidRPr="00963296">
        <w:rPr>
          <w:rFonts w:ascii="Calibri" w:hAnsi="Calibri"/>
          <w:color w:val="000000"/>
          <w:kern w:val="2"/>
          <w:sz w:val="22"/>
          <w:szCs w:val="22"/>
          <w:lang w:val="be-BY"/>
        </w:rPr>
        <w:t>. Общата експозиция към група свързани клиенти се изчисляват чрез събиране на експозициите към отделните лица, отнесени в една група. Общата експозиция към отделен клиент или към група от свързани клиенти се изчисляват чрез събиране на експозициите от търговския и инвестиционния портфейл.</w:t>
      </w:r>
    </w:p>
    <w:p w14:paraId="0AED16F6" w14:textId="5BC8FCDB"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 xml:space="preserve">Чл. </w:t>
      </w:r>
      <w:r>
        <w:rPr>
          <w:rFonts w:ascii="Calibri" w:hAnsi="Calibri"/>
          <w:color w:val="000000"/>
          <w:kern w:val="2"/>
          <w:sz w:val="22"/>
          <w:szCs w:val="22"/>
          <w:lang w:val="en-US"/>
        </w:rPr>
        <w:t>17</w:t>
      </w:r>
      <w:r w:rsidRPr="00963296">
        <w:rPr>
          <w:rFonts w:ascii="Calibri" w:hAnsi="Calibri"/>
          <w:color w:val="000000"/>
          <w:kern w:val="2"/>
          <w:sz w:val="22"/>
          <w:szCs w:val="22"/>
          <w:lang w:val="be-BY"/>
        </w:rPr>
        <w:t>. Изчисляването на големите експозиции става съгласно изискванията на Регламент (ЕС) 2019/2033 и четвърта част от Регламент 575/2013 относно пруденциалните изисквания за кредитните институции и инвестиционните посредници.</w:t>
      </w:r>
    </w:p>
    <w:p w14:paraId="608DD3A5" w14:textId="7FBC498C"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 xml:space="preserve">Чл. </w:t>
      </w:r>
      <w:r>
        <w:rPr>
          <w:rFonts w:ascii="Calibri" w:hAnsi="Calibri"/>
          <w:color w:val="000000"/>
          <w:kern w:val="2"/>
          <w:sz w:val="22"/>
          <w:szCs w:val="22"/>
          <w:lang w:val="en-US"/>
        </w:rPr>
        <w:t>18</w:t>
      </w:r>
      <w:r w:rsidRPr="00963296">
        <w:rPr>
          <w:rFonts w:ascii="Calibri" w:hAnsi="Calibri"/>
          <w:color w:val="000000"/>
          <w:kern w:val="2"/>
          <w:sz w:val="22"/>
          <w:szCs w:val="22"/>
          <w:lang w:val="be-BY"/>
        </w:rPr>
        <w:t>. Вземането на решение за голяма експозиция става с решение на заседание на Съвета на директорите на инвестиционния посредник.</w:t>
      </w:r>
    </w:p>
    <w:p w14:paraId="3BFD52D5" w14:textId="0B12F9CA"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 xml:space="preserve">Чл. </w:t>
      </w:r>
      <w:r>
        <w:rPr>
          <w:rFonts w:ascii="Calibri" w:hAnsi="Calibri"/>
          <w:color w:val="000000"/>
          <w:kern w:val="2"/>
          <w:sz w:val="22"/>
          <w:szCs w:val="22"/>
          <w:lang w:val="en-US"/>
        </w:rPr>
        <w:t>19</w:t>
      </w:r>
      <w:r w:rsidRPr="00963296">
        <w:rPr>
          <w:rFonts w:ascii="Calibri" w:hAnsi="Calibri"/>
          <w:color w:val="000000"/>
          <w:kern w:val="2"/>
          <w:sz w:val="22"/>
          <w:szCs w:val="22"/>
          <w:lang w:val="be-BY"/>
        </w:rPr>
        <w:t xml:space="preserve">. (1) </w:t>
      </w:r>
      <w:r>
        <w:rPr>
          <w:rFonts w:ascii="Calibri" w:hAnsi="Calibri"/>
          <w:color w:val="000000"/>
          <w:kern w:val="2"/>
          <w:sz w:val="22"/>
          <w:szCs w:val="22"/>
        </w:rPr>
        <w:t>Вътрешен контрол</w:t>
      </w:r>
      <w:r w:rsidRPr="00963296">
        <w:rPr>
          <w:rFonts w:ascii="Calibri" w:hAnsi="Calibri"/>
          <w:color w:val="000000"/>
          <w:kern w:val="2"/>
          <w:sz w:val="22"/>
          <w:szCs w:val="22"/>
          <w:lang w:val="be-BY"/>
        </w:rPr>
        <w:t xml:space="preserve"> и </w:t>
      </w:r>
      <w:r>
        <w:rPr>
          <w:rFonts w:ascii="Calibri" w:hAnsi="Calibri"/>
          <w:color w:val="000000"/>
          <w:kern w:val="2"/>
          <w:sz w:val="22"/>
          <w:szCs w:val="22"/>
          <w:lang w:val="be-BY"/>
        </w:rPr>
        <w:t>отдел</w:t>
      </w:r>
      <w:r w:rsidRPr="00963296">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963296">
        <w:rPr>
          <w:rFonts w:ascii="Calibri" w:hAnsi="Calibri"/>
          <w:color w:val="000000"/>
          <w:kern w:val="2"/>
          <w:sz w:val="22"/>
          <w:szCs w:val="22"/>
          <w:lang w:val="be-BY"/>
        </w:rPr>
        <w:t>четоводство“</w:t>
      </w:r>
      <w:r>
        <w:rPr>
          <w:rFonts w:ascii="Calibri" w:hAnsi="Calibri"/>
          <w:color w:val="000000"/>
          <w:kern w:val="2"/>
          <w:sz w:val="22"/>
          <w:szCs w:val="22"/>
          <w:lang w:val="be-BY"/>
        </w:rPr>
        <w:t xml:space="preserve"> </w:t>
      </w:r>
      <w:r w:rsidRPr="00963296">
        <w:rPr>
          <w:rFonts w:ascii="Calibri" w:hAnsi="Calibri"/>
          <w:color w:val="000000"/>
          <w:kern w:val="2"/>
          <w:sz w:val="22"/>
          <w:szCs w:val="22"/>
          <w:lang w:val="be-BY"/>
        </w:rPr>
        <w:t>ежедневно изчисляват и следят за формирането и наблюдението на големите експозиции на инвестиционния посредник.</w:t>
      </w:r>
    </w:p>
    <w:p w14:paraId="005F92D2" w14:textId="131E2938"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 xml:space="preserve">(2) При размер на голяма експозиция доближаващ или превишаващ 25 процента от приемливия капитал на инвестиционния посредник, </w:t>
      </w:r>
      <w:r>
        <w:rPr>
          <w:rFonts w:ascii="Calibri" w:hAnsi="Calibri"/>
          <w:color w:val="000000"/>
          <w:kern w:val="2"/>
          <w:sz w:val="22"/>
          <w:szCs w:val="22"/>
          <w:lang w:val="be-BY"/>
        </w:rPr>
        <w:t>Вътрешен контрол</w:t>
      </w:r>
      <w:r w:rsidRPr="00963296">
        <w:rPr>
          <w:rFonts w:ascii="Calibri" w:hAnsi="Calibri"/>
          <w:color w:val="000000"/>
          <w:kern w:val="2"/>
          <w:sz w:val="22"/>
          <w:szCs w:val="22"/>
          <w:lang w:val="be-BY"/>
        </w:rPr>
        <w:t xml:space="preserve">  незабавно информира Съвета на директорите за необходимостта от предприемане на действия по намаляване на голямата експозиция.</w:t>
      </w:r>
    </w:p>
    <w:p w14:paraId="2B94BF8C" w14:textId="6D9022CE" w:rsidR="005E736E"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(3)</w:t>
      </w:r>
      <w:r w:rsidRPr="00963296">
        <w:rPr>
          <w:rFonts w:ascii="Calibri" w:hAnsi="Calibri"/>
          <w:color w:val="000000"/>
          <w:kern w:val="2"/>
          <w:sz w:val="22"/>
          <w:szCs w:val="22"/>
          <w:lang w:val="be-BY"/>
        </w:rPr>
        <w:tab/>
        <w:t>Съветът на директорите определя мерките, които следва да се предприемат и сроковете, в които същите следва да се реализират, с цел намаляване на критично високата голяма експозиция по ал. 2.</w:t>
      </w:r>
    </w:p>
    <w:p w14:paraId="00BD38FF" w14:textId="77777777" w:rsidR="005E736E" w:rsidRDefault="005E736E" w:rsidP="00CE01CD">
      <w:pPr>
        <w:pStyle w:val="BodyText"/>
        <w:jc w:val="both"/>
        <w:rPr>
          <w:rFonts w:ascii="Calibri" w:hAnsi="Calibri"/>
          <w:color w:val="000000"/>
          <w:kern w:val="2"/>
          <w:sz w:val="22"/>
          <w:szCs w:val="22"/>
          <w:lang w:val="be-BY"/>
        </w:rPr>
      </w:pPr>
    </w:p>
    <w:p w14:paraId="68BE23D2" w14:textId="51D73ABE" w:rsidR="00963296" w:rsidRDefault="00963296" w:rsidP="00963296">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КАПИТАЛОВИ ИЗИСКВАНИЯ</w:t>
      </w:r>
    </w:p>
    <w:p w14:paraId="3275BBE3" w14:textId="77777777" w:rsidR="00963296" w:rsidRPr="00963296" w:rsidRDefault="00963296" w:rsidP="00963296">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20. </w:t>
      </w:r>
      <w:r w:rsidRPr="00963296">
        <w:rPr>
          <w:rFonts w:ascii="Calibri" w:hAnsi="Calibri"/>
          <w:color w:val="000000"/>
          <w:kern w:val="2"/>
          <w:sz w:val="22"/>
          <w:szCs w:val="22"/>
          <w:lang w:val="be-BY"/>
        </w:rPr>
        <w:t>(1) Инвестиционният посредник прилага изискванията на чл. 9а, ал. 1 от Закона за пазарите на финансови инструменти, както и капиталовите изисквания по Регламент (ЕС) 2019/2033, Регламент 575/2013 и актовете по прилагането им. Инвестиционният посредник разполага по всяко време със собствен капитал в съответствие с чл. 9 от Регламент (ЕС) 2019/2033, чийто размер е най-малко D, където D се определя като най-високата от следните стойности:</w:t>
      </w:r>
    </w:p>
    <w:p w14:paraId="69B5D193" w14:textId="77777777"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lastRenderedPageBreak/>
        <w:t>а) изискването въз основа на постоянните общи разходи, изчислено в съответствие с член 13 от Регламент (ЕС) 2019/2033;</w:t>
      </w:r>
    </w:p>
    <w:p w14:paraId="7F35D3A2" w14:textId="77777777"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б) изискването за постоянен минимален капитал в съответствие с член 14 от Регламент (ЕС) 2019/2033; или</w:t>
      </w:r>
    </w:p>
    <w:p w14:paraId="4F04E8E2" w14:textId="77777777" w:rsidR="00963296" w:rsidRP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в) изискването въз основа на К-фактори, изчислено в съответствие с член 15 от Регламент (ЕС) 2019/2033.</w:t>
      </w:r>
    </w:p>
    <w:p w14:paraId="40E4CCDE" w14:textId="0A6709D6" w:rsidR="00963296" w:rsidRDefault="00963296" w:rsidP="00963296">
      <w:pPr>
        <w:pStyle w:val="BodyText"/>
        <w:jc w:val="both"/>
        <w:rPr>
          <w:rFonts w:ascii="Calibri" w:hAnsi="Calibri"/>
          <w:color w:val="000000"/>
          <w:kern w:val="2"/>
          <w:sz w:val="22"/>
          <w:szCs w:val="22"/>
          <w:lang w:val="be-BY"/>
        </w:rPr>
      </w:pPr>
      <w:r w:rsidRPr="00963296">
        <w:rPr>
          <w:rFonts w:ascii="Calibri" w:hAnsi="Calibri"/>
          <w:color w:val="000000"/>
          <w:kern w:val="2"/>
          <w:sz w:val="22"/>
          <w:szCs w:val="22"/>
          <w:lang w:val="be-BY"/>
        </w:rPr>
        <w:t>(2) Инвестиционният посредник уведомява КФН веднага след като узнае, че той вече не отговаря или в бъдеще няма да отговаря на изискванията на Регламент (ЕС) 2019/2033.</w:t>
      </w:r>
    </w:p>
    <w:p w14:paraId="62EE3D9A" w14:textId="77777777" w:rsidR="00963296" w:rsidRDefault="00963296" w:rsidP="00CE01CD">
      <w:pPr>
        <w:pStyle w:val="BodyText"/>
        <w:jc w:val="both"/>
        <w:rPr>
          <w:rFonts w:ascii="Calibri" w:hAnsi="Calibri"/>
          <w:color w:val="000000"/>
          <w:kern w:val="2"/>
          <w:sz w:val="22"/>
          <w:szCs w:val="22"/>
          <w:lang w:val="be-BY"/>
        </w:rPr>
      </w:pPr>
    </w:p>
    <w:p w14:paraId="313A1EEB" w14:textId="3C71853F" w:rsidR="00963296" w:rsidRDefault="00963296" w:rsidP="00963296">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К-ФАКТОРИ И ПРИЛОЖИМИ КОЕФИЦИЕНТИ</w:t>
      </w:r>
    </w:p>
    <w:p w14:paraId="120891CA" w14:textId="77777777" w:rsidR="00F525E9" w:rsidRPr="00F525E9" w:rsidRDefault="00963296" w:rsidP="00F525E9">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21. </w:t>
      </w:r>
      <w:r w:rsidR="00F525E9" w:rsidRPr="00F525E9">
        <w:rPr>
          <w:rFonts w:ascii="Calibri" w:hAnsi="Calibri"/>
          <w:color w:val="000000"/>
          <w:kern w:val="2"/>
          <w:sz w:val="22"/>
          <w:szCs w:val="22"/>
          <w:lang w:val="be-BY"/>
        </w:rPr>
        <w:t>(1) Инвестиционният посредник следва да изчислява приложимото за него капиталово изискване съгласно Регламент (ЕС) 2019/2033 въз основа на съответния набор от К- фактори, с които се отчита рискът за клиентите („RtC"), рискът за пазара („RtM") и рискът за самото дружество („RtF"). К -факторите за рискове към клиента, са свързани с активите на клиенти, които се управляват и по които текущо се предоставят инвестиционни съвети (K-AUM), с държаните парични средства на клиенти (K-CMH), с активите, които се съхраняват и администрират (K-ASA), както и с изпълнените нареждания на клиенти (K-COH).</w:t>
      </w:r>
    </w:p>
    <w:p w14:paraId="6DCDBB10"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(2)</w:t>
      </w:r>
      <w:r w:rsidRPr="00F525E9">
        <w:rPr>
          <w:rFonts w:ascii="Calibri" w:hAnsi="Calibri"/>
          <w:color w:val="000000"/>
          <w:kern w:val="2"/>
          <w:sz w:val="22"/>
          <w:szCs w:val="22"/>
          <w:lang w:val="be-BY"/>
        </w:rPr>
        <w:tab/>
        <w:t>За целите на изискването въз основа на К-фактори, изчислението на размера им да е равен най-малко на сбора на следните елементи:</w:t>
      </w:r>
    </w:p>
    <w:p w14:paraId="088E3600"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а) К-фактори за рискове към клиента изчислени, изчислени в съответствие с глава 2 (RtC);</w:t>
      </w:r>
    </w:p>
    <w:p w14:paraId="52BA41BD"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б) К-фактори за рискове към пазара, изчислени в съответствие с глава 3 (RtM);</w:t>
      </w:r>
    </w:p>
    <w:p w14:paraId="0E88BAA1" w14:textId="3EB81899"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в) К-фактори за рискове на дружеството, изчислени в съответствие с глава 4 (RtF).</w:t>
      </w:r>
    </w:p>
    <w:p w14:paraId="08F4462A" w14:textId="2E6C5867" w:rsidR="00963296"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(3)</w:t>
      </w:r>
      <w:r w:rsidRPr="00F525E9">
        <w:rPr>
          <w:rFonts w:ascii="Calibri" w:hAnsi="Calibri"/>
          <w:color w:val="000000"/>
          <w:kern w:val="2"/>
          <w:sz w:val="22"/>
          <w:szCs w:val="22"/>
          <w:lang w:val="be-BY"/>
        </w:rPr>
        <w:tab/>
        <w:t>Към съответните К-фактори се прилагат следните коефициенти:</w:t>
      </w:r>
    </w:p>
    <w:tbl>
      <w:tblPr>
        <w:tblW w:w="93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1"/>
        <w:gridCol w:w="2263"/>
        <w:gridCol w:w="1845"/>
      </w:tblGrid>
      <w:tr w:rsidR="00F525E9" w14:paraId="74652916" w14:textId="77777777" w:rsidTr="00F525E9">
        <w:trPr>
          <w:trHeight w:val="536"/>
        </w:trPr>
        <w:tc>
          <w:tcPr>
            <w:tcW w:w="7514" w:type="dxa"/>
            <w:gridSpan w:val="2"/>
          </w:tcPr>
          <w:p w14:paraId="3CF25340" w14:textId="77777777" w:rsidR="00F525E9" w:rsidRDefault="00F525E9" w:rsidP="00560523">
            <w:pPr>
              <w:pStyle w:val="TableParagraph"/>
              <w:spacing w:line="265" w:lineRule="exact"/>
              <w:ind w:left="3191" w:right="3167"/>
            </w:pPr>
            <w:r>
              <w:t>К-ФАКТОРИ</w:t>
            </w:r>
          </w:p>
        </w:tc>
        <w:tc>
          <w:tcPr>
            <w:tcW w:w="1845" w:type="dxa"/>
          </w:tcPr>
          <w:p w14:paraId="37709086" w14:textId="77777777" w:rsidR="00F525E9" w:rsidRDefault="00F525E9" w:rsidP="00560523">
            <w:pPr>
              <w:pStyle w:val="TableParagraph"/>
              <w:spacing w:line="265" w:lineRule="exact"/>
              <w:ind w:right="239"/>
            </w:pPr>
            <w:r>
              <w:t>КОЕФИЦИЕНТ</w:t>
            </w:r>
          </w:p>
        </w:tc>
      </w:tr>
      <w:tr w:rsidR="00F525E9" w14:paraId="426C870F" w14:textId="77777777" w:rsidTr="00F525E9">
        <w:trPr>
          <w:trHeight w:val="1074"/>
        </w:trPr>
        <w:tc>
          <w:tcPr>
            <w:tcW w:w="5251" w:type="dxa"/>
          </w:tcPr>
          <w:p w14:paraId="67E62AF9" w14:textId="77777777" w:rsidR="00F525E9" w:rsidRDefault="00F525E9" w:rsidP="00560523">
            <w:pPr>
              <w:pStyle w:val="TableParagraph"/>
              <w:ind w:left="227" w:right="205"/>
            </w:pPr>
            <w:r>
              <w:t>Управлявани активи — по силата на дискреционно управление на портфейл и недискреционни договорености за текущо предоставяне на съвети</w:t>
            </w:r>
          </w:p>
        </w:tc>
        <w:tc>
          <w:tcPr>
            <w:tcW w:w="2263" w:type="dxa"/>
          </w:tcPr>
          <w:p w14:paraId="040B8793" w14:textId="77777777" w:rsidR="00F525E9" w:rsidRDefault="00F525E9" w:rsidP="00560523">
            <w:pPr>
              <w:pStyle w:val="TableParagraph"/>
              <w:spacing w:before="8"/>
              <w:ind w:left="0" w:right="0"/>
              <w:jc w:val="left"/>
              <w:rPr>
                <w:sz w:val="21"/>
              </w:rPr>
            </w:pPr>
          </w:p>
          <w:p w14:paraId="495CC235" w14:textId="77777777" w:rsidR="00F525E9" w:rsidRDefault="00F525E9" w:rsidP="00560523">
            <w:pPr>
              <w:pStyle w:val="TableParagraph"/>
              <w:spacing w:before="1"/>
              <w:ind w:left="90"/>
            </w:pPr>
            <w:r>
              <w:t>K-AUM</w:t>
            </w:r>
          </w:p>
        </w:tc>
        <w:tc>
          <w:tcPr>
            <w:tcW w:w="1845" w:type="dxa"/>
          </w:tcPr>
          <w:p w14:paraId="069340C0" w14:textId="77777777" w:rsidR="00F525E9" w:rsidRDefault="00F525E9" w:rsidP="00560523">
            <w:pPr>
              <w:pStyle w:val="TableParagraph"/>
              <w:spacing w:before="8"/>
              <w:ind w:left="0" w:right="0"/>
              <w:jc w:val="left"/>
              <w:rPr>
                <w:sz w:val="21"/>
              </w:rPr>
            </w:pPr>
          </w:p>
          <w:p w14:paraId="5A27C2E4" w14:textId="77777777" w:rsidR="00F525E9" w:rsidRDefault="00F525E9" w:rsidP="00560523">
            <w:pPr>
              <w:pStyle w:val="TableParagraph"/>
              <w:spacing w:before="1"/>
              <w:ind w:right="238"/>
            </w:pPr>
            <w:r>
              <w:t>0,02%</w:t>
            </w:r>
          </w:p>
        </w:tc>
      </w:tr>
      <w:tr w:rsidR="00F525E9" w14:paraId="1B1CBEA2" w14:textId="77777777" w:rsidTr="00F525E9">
        <w:trPr>
          <w:trHeight w:val="805"/>
        </w:trPr>
        <w:tc>
          <w:tcPr>
            <w:tcW w:w="5251" w:type="dxa"/>
            <w:vMerge w:val="restart"/>
          </w:tcPr>
          <w:p w14:paraId="5886294F" w14:textId="77777777" w:rsidR="00F525E9" w:rsidRDefault="00F525E9" w:rsidP="00560523">
            <w:pPr>
              <w:pStyle w:val="TableParagraph"/>
              <w:spacing w:before="131"/>
              <w:ind w:left="786" w:right="0"/>
              <w:jc w:val="left"/>
            </w:pPr>
            <w:r>
              <w:t>Държани парични средства на клиенти</w:t>
            </w:r>
          </w:p>
        </w:tc>
        <w:tc>
          <w:tcPr>
            <w:tcW w:w="2263" w:type="dxa"/>
          </w:tcPr>
          <w:p w14:paraId="2DEB93E4" w14:textId="77777777" w:rsidR="00F525E9" w:rsidRDefault="00F525E9" w:rsidP="00560523">
            <w:pPr>
              <w:pStyle w:val="TableParagraph"/>
              <w:ind w:left="760" w:right="80" w:hanging="660"/>
              <w:jc w:val="left"/>
            </w:pPr>
            <w:r>
              <w:t>K-CMH (по обособени сметки)</w:t>
            </w:r>
          </w:p>
        </w:tc>
        <w:tc>
          <w:tcPr>
            <w:tcW w:w="1845" w:type="dxa"/>
          </w:tcPr>
          <w:p w14:paraId="419563A6" w14:textId="77777777" w:rsidR="00F525E9" w:rsidRDefault="00F525E9" w:rsidP="00560523">
            <w:pPr>
              <w:pStyle w:val="TableParagraph"/>
              <w:spacing w:before="131"/>
              <w:ind w:left="240" w:right="239"/>
            </w:pPr>
            <w:r>
              <w:t>0,4%</w:t>
            </w:r>
          </w:p>
        </w:tc>
      </w:tr>
      <w:tr w:rsidR="00F525E9" w14:paraId="3D102B6B" w14:textId="77777777" w:rsidTr="00F525E9">
        <w:trPr>
          <w:trHeight w:val="805"/>
        </w:trPr>
        <w:tc>
          <w:tcPr>
            <w:tcW w:w="5251" w:type="dxa"/>
            <w:vMerge/>
            <w:tcBorders>
              <w:top w:val="nil"/>
            </w:tcBorders>
          </w:tcPr>
          <w:p w14:paraId="38CA12D6" w14:textId="77777777" w:rsidR="00F525E9" w:rsidRDefault="00F525E9" w:rsidP="00560523">
            <w:pPr>
              <w:rPr>
                <w:sz w:val="2"/>
                <w:szCs w:val="2"/>
              </w:rPr>
            </w:pPr>
          </w:p>
        </w:tc>
        <w:tc>
          <w:tcPr>
            <w:tcW w:w="2263" w:type="dxa"/>
          </w:tcPr>
          <w:p w14:paraId="3B41683F" w14:textId="77777777" w:rsidR="00F525E9" w:rsidRDefault="00F525E9" w:rsidP="00560523">
            <w:pPr>
              <w:pStyle w:val="TableParagraph"/>
              <w:spacing w:line="265" w:lineRule="exact"/>
              <w:ind w:left="92"/>
            </w:pPr>
            <w:r>
              <w:t>K-CMH (по</w:t>
            </w:r>
          </w:p>
          <w:p w14:paraId="5748FDD2" w14:textId="77777777" w:rsidR="00F525E9" w:rsidRDefault="00F525E9" w:rsidP="00560523">
            <w:pPr>
              <w:pStyle w:val="TableParagraph"/>
              <w:ind w:left="94"/>
            </w:pPr>
            <w:r>
              <w:t>необособени сметки)</w:t>
            </w:r>
          </w:p>
        </w:tc>
        <w:tc>
          <w:tcPr>
            <w:tcW w:w="1845" w:type="dxa"/>
          </w:tcPr>
          <w:p w14:paraId="263E3F53" w14:textId="77777777" w:rsidR="00F525E9" w:rsidRDefault="00F525E9" w:rsidP="00560523">
            <w:pPr>
              <w:pStyle w:val="TableParagraph"/>
              <w:spacing w:before="131"/>
              <w:ind w:left="240" w:right="239"/>
            </w:pPr>
            <w:r>
              <w:t>0,5%</w:t>
            </w:r>
          </w:p>
        </w:tc>
      </w:tr>
      <w:tr w:rsidR="00F525E9" w14:paraId="60319151" w14:textId="77777777" w:rsidTr="00F525E9">
        <w:trPr>
          <w:trHeight w:val="536"/>
        </w:trPr>
        <w:tc>
          <w:tcPr>
            <w:tcW w:w="5251" w:type="dxa"/>
          </w:tcPr>
          <w:p w14:paraId="305E80AA" w14:textId="77777777" w:rsidR="00F525E9" w:rsidRDefault="00F525E9" w:rsidP="00560523">
            <w:pPr>
              <w:pStyle w:val="TableParagraph"/>
              <w:spacing w:line="265" w:lineRule="exact"/>
              <w:ind w:left="227" w:right="205"/>
            </w:pPr>
            <w:r>
              <w:t>Съхранявани и администрирани активи</w:t>
            </w:r>
          </w:p>
        </w:tc>
        <w:tc>
          <w:tcPr>
            <w:tcW w:w="2263" w:type="dxa"/>
          </w:tcPr>
          <w:p w14:paraId="347AB69A" w14:textId="77777777" w:rsidR="00F525E9" w:rsidRDefault="00F525E9" w:rsidP="00560523">
            <w:pPr>
              <w:pStyle w:val="TableParagraph"/>
              <w:spacing w:line="265" w:lineRule="exact"/>
              <w:ind w:left="89"/>
            </w:pPr>
            <w:r>
              <w:t>K-ASA</w:t>
            </w:r>
          </w:p>
        </w:tc>
        <w:tc>
          <w:tcPr>
            <w:tcW w:w="1845" w:type="dxa"/>
          </w:tcPr>
          <w:p w14:paraId="62BBF84D" w14:textId="77777777" w:rsidR="00F525E9" w:rsidRDefault="00F525E9" w:rsidP="00560523">
            <w:pPr>
              <w:pStyle w:val="TableParagraph"/>
              <w:spacing w:line="265" w:lineRule="exact"/>
              <w:ind w:right="238"/>
            </w:pPr>
            <w:r>
              <w:t>0,04%</w:t>
            </w:r>
          </w:p>
        </w:tc>
      </w:tr>
      <w:tr w:rsidR="00F525E9" w14:paraId="61DC867C" w14:textId="77777777" w:rsidTr="00F525E9">
        <w:trPr>
          <w:trHeight w:val="805"/>
        </w:trPr>
        <w:tc>
          <w:tcPr>
            <w:tcW w:w="5251" w:type="dxa"/>
          </w:tcPr>
          <w:p w14:paraId="68A0A71E" w14:textId="77777777" w:rsidR="00F525E9" w:rsidRDefault="00F525E9" w:rsidP="00560523">
            <w:pPr>
              <w:pStyle w:val="TableParagraph"/>
              <w:spacing w:before="131"/>
              <w:ind w:left="227" w:right="204"/>
            </w:pPr>
            <w:r>
              <w:t>Изпълнени нареждания на клиенти</w:t>
            </w:r>
          </w:p>
        </w:tc>
        <w:tc>
          <w:tcPr>
            <w:tcW w:w="2263" w:type="dxa"/>
          </w:tcPr>
          <w:p w14:paraId="763809CE" w14:textId="77777777" w:rsidR="00F525E9" w:rsidRDefault="00F525E9" w:rsidP="00560523">
            <w:pPr>
              <w:pStyle w:val="TableParagraph"/>
              <w:ind w:left="494" w:right="387" w:hanging="84"/>
              <w:jc w:val="left"/>
            </w:pPr>
            <w:r>
              <w:t>K-COH парични разплащания</w:t>
            </w:r>
          </w:p>
        </w:tc>
        <w:tc>
          <w:tcPr>
            <w:tcW w:w="1845" w:type="dxa"/>
          </w:tcPr>
          <w:p w14:paraId="5EDD10DB" w14:textId="77777777" w:rsidR="00F525E9" w:rsidRDefault="00F525E9" w:rsidP="00560523">
            <w:pPr>
              <w:pStyle w:val="TableParagraph"/>
              <w:spacing w:before="131"/>
              <w:ind w:left="240" w:right="239"/>
            </w:pPr>
            <w:r>
              <w:t>0,1%</w:t>
            </w:r>
          </w:p>
        </w:tc>
      </w:tr>
      <w:tr w:rsidR="00F525E9" w14:paraId="3FB79995" w14:textId="77777777" w:rsidTr="00F525E9">
        <w:trPr>
          <w:trHeight w:val="536"/>
        </w:trPr>
        <w:tc>
          <w:tcPr>
            <w:tcW w:w="5251" w:type="dxa"/>
          </w:tcPr>
          <w:p w14:paraId="64203696" w14:textId="77777777" w:rsidR="00F525E9" w:rsidRDefault="00F525E9" w:rsidP="00560523">
            <w:pPr>
              <w:pStyle w:val="TableParagraph"/>
              <w:ind w:left="0" w:right="0"/>
              <w:jc w:val="left"/>
              <w:rPr>
                <w:rFonts w:ascii="Times New Roman"/>
              </w:rPr>
            </w:pPr>
          </w:p>
        </w:tc>
        <w:tc>
          <w:tcPr>
            <w:tcW w:w="2263" w:type="dxa"/>
          </w:tcPr>
          <w:p w14:paraId="42DAF5C7" w14:textId="77777777" w:rsidR="00F525E9" w:rsidRDefault="00F525E9" w:rsidP="00560523">
            <w:pPr>
              <w:pStyle w:val="TableParagraph"/>
              <w:spacing w:line="265" w:lineRule="exact"/>
              <w:ind w:left="90"/>
            </w:pPr>
            <w:r>
              <w:t>K-COH деривати</w:t>
            </w:r>
          </w:p>
        </w:tc>
        <w:tc>
          <w:tcPr>
            <w:tcW w:w="1845" w:type="dxa"/>
          </w:tcPr>
          <w:p w14:paraId="6513B29A" w14:textId="77777777" w:rsidR="00F525E9" w:rsidRDefault="00F525E9" w:rsidP="00560523">
            <w:pPr>
              <w:pStyle w:val="TableParagraph"/>
              <w:spacing w:line="265" w:lineRule="exact"/>
              <w:ind w:right="238"/>
            </w:pPr>
            <w:r>
              <w:t>0,01%</w:t>
            </w:r>
          </w:p>
        </w:tc>
      </w:tr>
      <w:tr w:rsidR="00F525E9" w14:paraId="57FD551D" w14:textId="77777777" w:rsidTr="00F525E9">
        <w:trPr>
          <w:trHeight w:val="805"/>
        </w:trPr>
        <w:tc>
          <w:tcPr>
            <w:tcW w:w="5251" w:type="dxa"/>
          </w:tcPr>
          <w:p w14:paraId="018BC897" w14:textId="77777777" w:rsidR="00F525E9" w:rsidRDefault="00F525E9" w:rsidP="00560523">
            <w:pPr>
              <w:pStyle w:val="TableParagraph"/>
              <w:spacing w:before="131"/>
              <w:ind w:left="227" w:right="203"/>
            </w:pPr>
            <w:r>
              <w:t>Дневен поток на трансакциите</w:t>
            </w:r>
          </w:p>
        </w:tc>
        <w:tc>
          <w:tcPr>
            <w:tcW w:w="2263" w:type="dxa"/>
          </w:tcPr>
          <w:p w14:paraId="6A9B0C10" w14:textId="77777777" w:rsidR="00F525E9" w:rsidRDefault="00F525E9" w:rsidP="00560523">
            <w:pPr>
              <w:pStyle w:val="TableParagraph"/>
              <w:ind w:left="494" w:right="415" w:hanging="56"/>
              <w:jc w:val="left"/>
            </w:pPr>
            <w:r>
              <w:t>K-DTF парични разплащания</w:t>
            </w:r>
          </w:p>
        </w:tc>
        <w:tc>
          <w:tcPr>
            <w:tcW w:w="1845" w:type="dxa"/>
          </w:tcPr>
          <w:p w14:paraId="592ABF64" w14:textId="77777777" w:rsidR="00F525E9" w:rsidRDefault="00F525E9" w:rsidP="00560523">
            <w:pPr>
              <w:pStyle w:val="TableParagraph"/>
              <w:spacing w:before="131"/>
              <w:ind w:left="240" w:right="239"/>
            </w:pPr>
            <w:r>
              <w:t>0,1%</w:t>
            </w:r>
          </w:p>
        </w:tc>
      </w:tr>
      <w:tr w:rsidR="00F525E9" w14:paraId="434A1470" w14:textId="77777777" w:rsidTr="00F525E9">
        <w:trPr>
          <w:trHeight w:val="539"/>
        </w:trPr>
        <w:tc>
          <w:tcPr>
            <w:tcW w:w="5251" w:type="dxa"/>
          </w:tcPr>
          <w:p w14:paraId="2CB7280E" w14:textId="77777777" w:rsidR="00F525E9" w:rsidRDefault="00F525E9" w:rsidP="00560523">
            <w:pPr>
              <w:pStyle w:val="TableParagraph"/>
              <w:ind w:left="0" w:right="0"/>
              <w:jc w:val="left"/>
              <w:rPr>
                <w:rFonts w:ascii="Times New Roman"/>
              </w:rPr>
            </w:pPr>
          </w:p>
        </w:tc>
        <w:tc>
          <w:tcPr>
            <w:tcW w:w="2263" w:type="dxa"/>
          </w:tcPr>
          <w:p w14:paraId="098877DB" w14:textId="77777777" w:rsidR="00F525E9" w:rsidRDefault="00F525E9" w:rsidP="00560523">
            <w:pPr>
              <w:pStyle w:val="TableParagraph"/>
              <w:spacing w:line="265" w:lineRule="exact"/>
              <w:ind w:left="93"/>
            </w:pPr>
            <w:r>
              <w:t>K-DTF деривати</w:t>
            </w:r>
          </w:p>
        </w:tc>
        <w:tc>
          <w:tcPr>
            <w:tcW w:w="1845" w:type="dxa"/>
          </w:tcPr>
          <w:p w14:paraId="536ACD12" w14:textId="77777777" w:rsidR="00F525E9" w:rsidRDefault="00F525E9" w:rsidP="00560523">
            <w:pPr>
              <w:pStyle w:val="TableParagraph"/>
              <w:spacing w:line="265" w:lineRule="exact"/>
              <w:ind w:right="238"/>
            </w:pPr>
            <w:r>
              <w:t>0,01%</w:t>
            </w:r>
          </w:p>
        </w:tc>
      </w:tr>
    </w:tbl>
    <w:p w14:paraId="5AC0CB0A" w14:textId="77777777" w:rsidR="00963296" w:rsidRDefault="00963296" w:rsidP="00CE01CD">
      <w:pPr>
        <w:pStyle w:val="BodyText"/>
        <w:jc w:val="both"/>
        <w:rPr>
          <w:rFonts w:ascii="Calibri" w:hAnsi="Calibri"/>
          <w:color w:val="000000"/>
          <w:kern w:val="2"/>
          <w:sz w:val="22"/>
          <w:szCs w:val="22"/>
          <w:lang w:val="be-BY"/>
        </w:rPr>
      </w:pPr>
    </w:p>
    <w:p w14:paraId="55B0CE9B"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(4)</w:t>
      </w:r>
      <w:r w:rsidRPr="00F525E9">
        <w:rPr>
          <w:rFonts w:ascii="Calibri" w:hAnsi="Calibri"/>
          <w:color w:val="000000"/>
          <w:kern w:val="2"/>
          <w:sz w:val="22"/>
          <w:szCs w:val="22"/>
          <w:lang w:val="be-BY"/>
        </w:rPr>
        <w:tab/>
        <w:t>Инвестиционният посредник наблюдава стойността на К-факторите за всяка тенденция, която би могла да доведе до съществено изменение на тяхното капиталово изискване за целите на чл. 11 от Регламент (ЕС) 2019/2033 за следващия отчетен период по седма част на Регламент (ЕС) 2019/2033 и уведомяват КФН за това съществено изменение на капиталовото изискване.</w:t>
      </w:r>
    </w:p>
    <w:p w14:paraId="7AF2E679"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(5)</w:t>
      </w:r>
      <w:r w:rsidRPr="00F525E9">
        <w:rPr>
          <w:rFonts w:ascii="Calibri" w:hAnsi="Calibri"/>
          <w:color w:val="000000"/>
          <w:kern w:val="2"/>
          <w:sz w:val="22"/>
          <w:szCs w:val="22"/>
          <w:lang w:val="be-BY"/>
        </w:rPr>
        <w:tab/>
        <w:t>Ако КФН прецени, че в дейността на инвестиционния посредник е настъпила съществена промяна, която има отражение върху стойността на даден К-фактор, то може по силата на член 39, параграф 2, буква а) от Директива (ЕС) 2019/2034 да коригира съответстващия размер.</w:t>
      </w:r>
    </w:p>
    <w:p w14:paraId="3F1C20D9" w14:textId="5380ABD0" w:rsid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(6)</w:t>
      </w:r>
      <w:r w:rsidRPr="00F525E9">
        <w:rPr>
          <w:rFonts w:ascii="Calibri" w:hAnsi="Calibri"/>
          <w:color w:val="000000"/>
          <w:kern w:val="2"/>
          <w:sz w:val="22"/>
          <w:szCs w:val="22"/>
          <w:lang w:val="be-BY"/>
        </w:rPr>
        <w:tab/>
        <w:t>Изискванията за К-факторите за отделните рискове се изчисляват, съгласно условията и по формули, определени в Регламент (ЕС) 2019/2033.</w:t>
      </w:r>
    </w:p>
    <w:p w14:paraId="27930447" w14:textId="77777777" w:rsidR="00F525E9" w:rsidRDefault="00F525E9" w:rsidP="00F525E9">
      <w:pPr>
        <w:pStyle w:val="BodyText"/>
        <w:jc w:val="both"/>
        <w:rPr>
          <w:rFonts w:ascii="Calibri" w:hAnsi="Calibri"/>
          <w:color w:val="000000"/>
          <w:kern w:val="2"/>
          <w:sz w:val="22"/>
          <w:szCs w:val="22"/>
          <w:lang w:val="be-BY"/>
        </w:rPr>
      </w:pPr>
    </w:p>
    <w:p w14:paraId="08E2DA63" w14:textId="05A4611A" w:rsidR="00F525E9" w:rsidRDefault="00F525E9" w:rsidP="00F525E9">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ВЪТРЕШЕН КОНТРОЛ</w:t>
      </w:r>
    </w:p>
    <w:p w14:paraId="7F642156" w14:textId="49CB41E7" w:rsidR="00F525E9" w:rsidRPr="00F525E9" w:rsidRDefault="00F525E9" w:rsidP="00F525E9">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22. </w:t>
      </w:r>
      <w:r w:rsidRPr="00F525E9">
        <w:rPr>
          <w:rFonts w:ascii="Calibri" w:hAnsi="Calibri"/>
          <w:color w:val="000000"/>
          <w:kern w:val="2"/>
          <w:sz w:val="22"/>
          <w:szCs w:val="22"/>
          <w:lang w:val="be-BY"/>
        </w:rPr>
        <w:t xml:space="preserve">(1) </w:t>
      </w:r>
      <w:r w:rsidR="009C797D">
        <w:rPr>
          <w:rFonts w:ascii="Calibri" w:hAnsi="Calibri"/>
          <w:color w:val="000000"/>
          <w:kern w:val="2"/>
          <w:sz w:val="22"/>
          <w:szCs w:val="22"/>
          <w:lang w:val="be-BY"/>
        </w:rPr>
        <w:t>Отдел “Вътрешен контрол”</w:t>
      </w:r>
      <w:r w:rsidRPr="00F525E9">
        <w:rPr>
          <w:rFonts w:ascii="Calibri" w:hAnsi="Calibri"/>
          <w:color w:val="000000"/>
          <w:kern w:val="2"/>
          <w:sz w:val="22"/>
          <w:szCs w:val="22"/>
          <w:lang w:val="be-BY"/>
        </w:rPr>
        <w:t xml:space="preserve"> извършва периодични проверки за съответствието на дейността на посредника с политиката и процедурите по управление на риска.</w:t>
      </w:r>
    </w:p>
    <w:p w14:paraId="3F5FD68E" w14:textId="6FEBEC16"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(2)</w:t>
      </w:r>
      <w:r w:rsidRPr="00F525E9">
        <w:rPr>
          <w:rFonts w:ascii="Calibri" w:hAnsi="Calibri"/>
          <w:color w:val="000000"/>
          <w:kern w:val="2"/>
          <w:sz w:val="22"/>
          <w:szCs w:val="22"/>
          <w:lang w:val="be-BY"/>
        </w:rPr>
        <w:tab/>
      </w:r>
      <w:r w:rsidR="009C797D">
        <w:rPr>
          <w:rFonts w:ascii="Calibri" w:hAnsi="Calibri"/>
          <w:color w:val="000000"/>
          <w:kern w:val="2"/>
          <w:sz w:val="22"/>
          <w:szCs w:val="22"/>
          <w:lang w:val="be-BY"/>
        </w:rPr>
        <w:t>Отдел “Вътрешен контрол”</w:t>
      </w:r>
      <w:r w:rsidRPr="00F525E9">
        <w:rPr>
          <w:rFonts w:ascii="Calibri" w:hAnsi="Calibri"/>
          <w:color w:val="000000"/>
          <w:kern w:val="2"/>
          <w:sz w:val="22"/>
          <w:szCs w:val="22"/>
          <w:lang w:val="be-BY"/>
        </w:rPr>
        <w:t xml:space="preserve"> извършва и ежегодна проверка доколко възприетите от посредника политики и стратегии относно риска отговарят на всички регулаторни изисквания.</w:t>
      </w:r>
    </w:p>
    <w:p w14:paraId="339236B0" w14:textId="6F92916F"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 xml:space="preserve">Чл. </w:t>
      </w:r>
      <w:r w:rsidR="009C797D">
        <w:rPr>
          <w:rFonts w:ascii="Calibri" w:hAnsi="Calibri"/>
          <w:color w:val="000000"/>
          <w:kern w:val="2"/>
          <w:sz w:val="22"/>
          <w:szCs w:val="22"/>
          <w:lang w:val="be-BY"/>
        </w:rPr>
        <w:t>23</w:t>
      </w:r>
      <w:r w:rsidRPr="00F525E9">
        <w:rPr>
          <w:rFonts w:ascii="Calibri" w:hAnsi="Calibri"/>
          <w:color w:val="000000"/>
          <w:kern w:val="2"/>
          <w:sz w:val="22"/>
          <w:szCs w:val="22"/>
          <w:lang w:val="be-BY"/>
        </w:rPr>
        <w:t xml:space="preserve">. </w:t>
      </w:r>
      <w:r w:rsidR="009C797D">
        <w:rPr>
          <w:rFonts w:ascii="Calibri" w:hAnsi="Calibri"/>
          <w:color w:val="000000"/>
          <w:kern w:val="2"/>
          <w:sz w:val="22"/>
          <w:szCs w:val="22"/>
          <w:lang w:val="be-BY"/>
        </w:rPr>
        <w:t>Отдел “Вътрешен контрол”</w:t>
      </w:r>
      <w:r w:rsidRPr="00F525E9">
        <w:rPr>
          <w:rFonts w:ascii="Calibri" w:hAnsi="Calibri"/>
          <w:color w:val="000000"/>
          <w:kern w:val="2"/>
          <w:sz w:val="22"/>
          <w:szCs w:val="22"/>
          <w:lang w:val="be-BY"/>
        </w:rPr>
        <w:t xml:space="preserve"> прилага тристепенен механизъм за контрол на риска: превантивен текущ и последващ.</w:t>
      </w:r>
    </w:p>
    <w:p w14:paraId="0085AD45" w14:textId="6D889513"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 xml:space="preserve">Чл. </w:t>
      </w:r>
      <w:r w:rsidR="009C797D">
        <w:rPr>
          <w:rFonts w:ascii="Calibri" w:hAnsi="Calibri"/>
          <w:color w:val="000000"/>
          <w:kern w:val="2"/>
          <w:sz w:val="22"/>
          <w:szCs w:val="22"/>
          <w:lang w:val="be-BY"/>
        </w:rPr>
        <w:t>24</w:t>
      </w:r>
      <w:r w:rsidRPr="00F525E9">
        <w:rPr>
          <w:rFonts w:ascii="Calibri" w:hAnsi="Calibri"/>
          <w:color w:val="000000"/>
          <w:kern w:val="2"/>
          <w:sz w:val="22"/>
          <w:szCs w:val="22"/>
          <w:lang w:val="be-BY"/>
        </w:rPr>
        <w:t>. Превантивният контрол по отношение оценката на рисковите фактори при сделките осъществявани от инвестиционния посредник са насочени към:</w:t>
      </w:r>
    </w:p>
    <w:p w14:paraId="0779C1E7"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1.</w:t>
      </w:r>
      <w:r w:rsidRPr="00F525E9">
        <w:rPr>
          <w:rFonts w:ascii="Calibri" w:hAnsi="Calibri"/>
          <w:color w:val="000000"/>
          <w:kern w:val="2"/>
          <w:sz w:val="22"/>
          <w:szCs w:val="22"/>
          <w:lang w:val="be-BY"/>
        </w:rPr>
        <w:tab/>
        <w:t>Организиране на първоначални професионални инструктажи на служителите на инвестиционния посредник;</w:t>
      </w:r>
    </w:p>
    <w:p w14:paraId="65106690"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2.</w:t>
      </w:r>
      <w:r w:rsidRPr="00F525E9">
        <w:rPr>
          <w:rFonts w:ascii="Calibri" w:hAnsi="Calibri"/>
          <w:color w:val="000000"/>
          <w:kern w:val="2"/>
          <w:sz w:val="22"/>
          <w:szCs w:val="22"/>
          <w:lang w:val="be-BY"/>
        </w:rPr>
        <w:tab/>
        <w:t>Внасяне на предложения за своевременно актуализиране и усъвършенстване на вътрешно-дружествените документи на инвестиционния посредник в съответствие с приети нови нормативни изисквания;</w:t>
      </w:r>
    </w:p>
    <w:p w14:paraId="413B87E1"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3.</w:t>
      </w:r>
      <w:r w:rsidRPr="00F525E9">
        <w:rPr>
          <w:rFonts w:ascii="Calibri" w:hAnsi="Calibri"/>
          <w:color w:val="000000"/>
          <w:kern w:val="2"/>
          <w:sz w:val="22"/>
          <w:szCs w:val="22"/>
          <w:lang w:val="be-BY"/>
        </w:rPr>
        <w:tab/>
        <w:t>Провеждане на регулярни професионални инструктажи на служителите на инвестиционния посредник.</w:t>
      </w:r>
    </w:p>
    <w:p w14:paraId="46551E73" w14:textId="473772E6"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 xml:space="preserve">Чл. </w:t>
      </w:r>
      <w:r w:rsidR="009C797D">
        <w:rPr>
          <w:rFonts w:ascii="Calibri" w:hAnsi="Calibri"/>
          <w:color w:val="000000"/>
          <w:kern w:val="2"/>
          <w:sz w:val="22"/>
          <w:szCs w:val="22"/>
          <w:lang w:val="be-BY"/>
        </w:rPr>
        <w:t>25</w:t>
      </w:r>
      <w:r w:rsidRPr="00F525E9">
        <w:rPr>
          <w:rFonts w:ascii="Calibri" w:hAnsi="Calibri"/>
          <w:color w:val="000000"/>
          <w:kern w:val="2"/>
          <w:sz w:val="22"/>
          <w:szCs w:val="22"/>
          <w:lang w:val="be-BY"/>
        </w:rPr>
        <w:t>. Текущият контрол по отношение правилното управление на рисковете включва:</w:t>
      </w:r>
    </w:p>
    <w:p w14:paraId="4A7DF326"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1.</w:t>
      </w:r>
      <w:r w:rsidRPr="00F525E9">
        <w:rPr>
          <w:rFonts w:ascii="Calibri" w:hAnsi="Calibri"/>
          <w:color w:val="000000"/>
          <w:kern w:val="2"/>
          <w:sz w:val="22"/>
          <w:szCs w:val="22"/>
          <w:lang w:val="be-BY"/>
        </w:rPr>
        <w:tab/>
        <w:t>контрол върху точното изпълнение на договорите и поетите от инвестиционния посредник ангажименти към клиентите;</w:t>
      </w:r>
    </w:p>
    <w:p w14:paraId="5CE5DCAF"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2.</w:t>
      </w:r>
      <w:r w:rsidRPr="00F525E9">
        <w:rPr>
          <w:rFonts w:ascii="Calibri" w:hAnsi="Calibri"/>
          <w:color w:val="000000"/>
          <w:kern w:val="2"/>
          <w:sz w:val="22"/>
          <w:szCs w:val="22"/>
          <w:lang w:val="be-BY"/>
        </w:rPr>
        <w:tab/>
        <w:t>законосъобразноста, точността и пълнотата на системите за отчетност и информационна достъпност.</w:t>
      </w:r>
    </w:p>
    <w:p w14:paraId="0DC12EC7" w14:textId="64441AFB"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 xml:space="preserve">Чл. </w:t>
      </w:r>
      <w:r w:rsidR="009C797D">
        <w:rPr>
          <w:rFonts w:ascii="Calibri" w:hAnsi="Calibri"/>
          <w:color w:val="000000"/>
          <w:kern w:val="2"/>
          <w:sz w:val="22"/>
          <w:szCs w:val="22"/>
          <w:lang w:val="be-BY"/>
        </w:rPr>
        <w:t>26</w:t>
      </w:r>
      <w:r w:rsidRPr="00F525E9">
        <w:rPr>
          <w:rFonts w:ascii="Calibri" w:hAnsi="Calibri"/>
          <w:color w:val="000000"/>
          <w:kern w:val="2"/>
          <w:sz w:val="22"/>
          <w:szCs w:val="22"/>
          <w:lang w:val="be-BY"/>
        </w:rPr>
        <w:t>. Последващият контрол по отношение управлението на риска включва:</w:t>
      </w:r>
    </w:p>
    <w:p w14:paraId="472C3C11"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1.</w:t>
      </w:r>
      <w:r w:rsidRPr="00F525E9">
        <w:rPr>
          <w:rFonts w:ascii="Calibri" w:hAnsi="Calibri"/>
          <w:color w:val="000000"/>
          <w:kern w:val="2"/>
          <w:sz w:val="22"/>
          <w:szCs w:val="22"/>
          <w:lang w:val="be-BY"/>
        </w:rPr>
        <w:tab/>
        <w:t>Задължителни препоръки за изпълнение при нарушаване правилата по управление на риска;</w:t>
      </w:r>
    </w:p>
    <w:p w14:paraId="070945BA" w14:textId="77777777" w:rsidR="00F525E9" w:rsidRP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2.</w:t>
      </w:r>
      <w:r w:rsidRPr="00F525E9">
        <w:rPr>
          <w:rFonts w:ascii="Calibri" w:hAnsi="Calibri"/>
          <w:color w:val="000000"/>
          <w:kern w:val="2"/>
          <w:sz w:val="22"/>
          <w:szCs w:val="22"/>
          <w:lang w:val="be-BY"/>
        </w:rPr>
        <w:tab/>
        <w:t>Внасяне на конкретни предложения пред Съвета на директорите за промяна във вътрешните документи на инвестиционния посредник, с оглед предотвратяване на пропуски, слабости и нарушения и привеждането им в съответствие със законовите изисквания;</w:t>
      </w:r>
    </w:p>
    <w:p w14:paraId="07C023FA" w14:textId="09C4931E" w:rsidR="00F525E9" w:rsidRDefault="00F525E9" w:rsidP="00F525E9">
      <w:pPr>
        <w:pStyle w:val="BodyText"/>
        <w:jc w:val="both"/>
        <w:rPr>
          <w:rFonts w:ascii="Calibri" w:hAnsi="Calibri"/>
          <w:color w:val="000000"/>
          <w:kern w:val="2"/>
          <w:sz w:val="22"/>
          <w:szCs w:val="22"/>
          <w:lang w:val="be-BY"/>
        </w:rPr>
      </w:pPr>
      <w:r w:rsidRPr="00F525E9">
        <w:rPr>
          <w:rFonts w:ascii="Calibri" w:hAnsi="Calibri"/>
          <w:color w:val="000000"/>
          <w:kern w:val="2"/>
          <w:sz w:val="22"/>
          <w:szCs w:val="22"/>
          <w:lang w:val="be-BY"/>
        </w:rPr>
        <w:t>3.</w:t>
      </w:r>
      <w:r w:rsidRPr="00F525E9">
        <w:rPr>
          <w:rFonts w:ascii="Calibri" w:hAnsi="Calibri"/>
          <w:color w:val="000000"/>
          <w:kern w:val="2"/>
          <w:sz w:val="22"/>
          <w:szCs w:val="22"/>
          <w:lang w:val="be-BY"/>
        </w:rPr>
        <w:tab/>
        <w:t>Регулярно обучение на служителите при инвестиционния посредник.</w:t>
      </w:r>
    </w:p>
    <w:p w14:paraId="4CD64A8B" w14:textId="77777777" w:rsidR="009C797D" w:rsidRDefault="009C797D" w:rsidP="00F525E9">
      <w:pPr>
        <w:pStyle w:val="BodyText"/>
        <w:jc w:val="both"/>
        <w:rPr>
          <w:rFonts w:ascii="Calibri" w:hAnsi="Calibri"/>
          <w:color w:val="000000"/>
          <w:kern w:val="2"/>
          <w:sz w:val="22"/>
          <w:szCs w:val="22"/>
          <w:lang w:val="be-BY"/>
        </w:rPr>
      </w:pPr>
    </w:p>
    <w:p w14:paraId="03EA6B3A" w14:textId="4ED47F1F" w:rsidR="009C797D" w:rsidRDefault="009C797D" w:rsidP="009C797D">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lastRenderedPageBreak/>
        <w:t>СЧЕТОВОДНИ ПРОЦЕДУРИ</w:t>
      </w:r>
    </w:p>
    <w:p w14:paraId="33EF71B8" w14:textId="2C1B6017" w:rsidR="009C797D" w:rsidRDefault="009C797D" w:rsidP="00F525E9">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27. </w:t>
      </w:r>
      <w:r w:rsidRPr="009C797D">
        <w:rPr>
          <w:rFonts w:ascii="Calibri" w:hAnsi="Calibri"/>
          <w:color w:val="000000"/>
          <w:kern w:val="2"/>
          <w:sz w:val="22"/>
          <w:szCs w:val="22"/>
          <w:lang w:val="be-BY"/>
        </w:rPr>
        <w:t>Счетоводните процедури по отношение на управлението и измерването на рисковете и оценката на вътрешния капитал са възприети и следвани от инвестиционния посредник действия по обработка на входящата финансово-счетоводната информация, чрез които се достига до оценки за нивата на риск и адекватността на капитала и ликвидността му.</w:t>
      </w:r>
    </w:p>
    <w:p w14:paraId="3920D2EE" w14:textId="2CB227F6" w:rsidR="009C797D" w:rsidRPr="00416E2D" w:rsidRDefault="009C797D" w:rsidP="009C797D">
      <w:pPr>
        <w:pStyle w:val="BodyTextIndent"/>
        <w:numPr>
          <w:ilvl w:val="0"/>
          <w:numId w:val="11"/>
        </w:numPr>
        <w:tabs>
          <w:tab w:val="num" w:pos="567"/>
        </w:tabs>
        <w:spacing w:after="0"/>
        <w:ind w:left="567" w:hanging="283"/>
        <w:jc w:val="both"/>
        <w:rPr>
          <w:b/>
        </w:rPr>
      </w:pPr>
      <w:r>
        <w:rPr>
          <w:b/>
        </w:rPr>
        <w:t>Цели на счетоводните процедури</w:t>
      </w:r>
      <w:r w:rsidRPr="00416E2D">
        <w:rPr>
          <w:b/>
        </w:rPr>
        <w:t>:</w:t>
      </w:r>
    </w:p>
    <w:p w14:paraId="554FA8A8" w14:textId="77777777" w:rsidR="009C797D" w:rsidRPr="009C797D" w:rsidRDefault="009C797D" w:rsidP="009C797D">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28. </w:t>
      </w:r>
      <w:r w:rsidRPr="009C797D">
        <w:rPr>
          <w:rFonts w:ascii="Calibri" w:hAnsi="Calibri"/>
          <w:color w:val="000000"/>
          <w:kern w:val="2"/>
          <w:sz w:val="22"/>
          <w:szCs w:val="22"/>
          <w:lang w:val="be-BY"/>
        </w:rPr>
        <w:t>Основна цел на счетоводните процедури е адекватното събиране, обработка и представяне на достоверна, систематизирана и навременна информация за:</w:t>
      </w:r>
    </w:p>
    <w:p w14:paraId="6C0611CA"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w:t>
      </w:r>
      <w:r w:rsidRPr="009C797D">
        <w:rPr>
          <w:rFonts w:ascii="Calibri" w:hAnsi="Calibri"/>
          <w:color w:val="000000"/>
          <w:kern w:val="2"/>
          <w:sz w:val="22"/>
          <w:szCs w:val="22"/>
          <w:lang w:val="be-BY"/>
        </w:rPr>
        <w:tab/>
        <w:t>степента на риск, на която е изложен инвестиционният посредник;</w:t>
      </w:r>
    </w:p>
    <w:p w14:paraId="3FE56DA4"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2.</w:t>
      </w:r>
      <w:r w:rsidRPr="009C797D">
        <w:rPr>
          <w:rFonts w:ascii="Calibri" w:hAnsi="Calibri"/>
          <w:color w:val="000000"/>
          <w:kern w:val="2"/>
          <w:sz w:val="22"/>
          <w:szCs w:val="22"/>
          <w:lang w:val="be-BY"/>
        </w:rPr>
        <w:tab/>
        <w:t>необходимият капитал за покритие на поетите рискове от дейността на инвестиционния посредник.</w:t>
      </w:r>
    </w:p>
    <w:p w14:paraId="6459D5BB" w14:textId="29D554F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29</w:t>
      </w:r>
      <w:r w:rsidRPr="009C797D">
        <w:rPr>
          <w:rFonts w:ascii="Calibri" w:hAnsi="Calibri"/>
          <w:color w:val="000000"/>
          <w:kern w:val="2"/>
          <w:sz w:val="22"/>
          <w:szCs w:val="22"/>
          <w:lang w:val="be-BY"/>
        </w:rPr>
        <w:t>. Своевременното и вярно представяне на информацията за степента на изложеност на риск и адекватността на капитала на инвестиционния посредник пред Комитета по риска и Изпълнителните директори, е предпоставка за недопускане на концентрация на рисковете и понасяне на финансови загуби.</w:t>
      </w:r>
    </w:p>
    <w:p w14:paraId="1755FF03" w14:textId="174F8096"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30</w:t>
      </w:r>
      <w:r w:rsidRPr="009C797D">
        <w:rPr>
          <w:rFonts w:ascii="Calibri" w:hAnsi="Calibri"/>
          <w:color w:val="000000"/>
          <w:kern w:val="2"/>
          <w:sz w:val="22"/>
          <w:szCs w:val="22"/>
          <w:lang w:val="be-BY"/>
        </w:rPr>
        <w:t>. Счетоводните процедури трябва да осигуряват всеобхватност на стопанските процеси, като по този начин се минимизира рискът от загуба и изкривяване на информацията за моментното състояние на инвестиционния посредник.</w:t>
      </w:r>
    </w:p>
    <w:p w14:paraId="734FD19A" w14:textId="5B9ACE04"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31</w:t>
      </w:r>
      <w:r w:rsidRPr="009C797D">
        <w:rPr>
          <w:rFonts w:ascii="Calibri" w:hAnsi="Calibri"/>
          <w:color w:val="000000"/>
          <w:kern w:val="2"/>
          <w:sz w:val="22"/>
          <w:szCs w:val="22"/>
          <w:lang w:val="be-BY"/>
        </w:rPr>
        <w:t>. Счетоводните процедури трябва да осигуряват подходящо структуриране на финансово- счетоводната информация за целите на управление на рисковете при инвестиционния посредник. Това се постига чрез детайлизиране и адекватно групиране на информацията от първичните счетоводни документи, на базата на индивидуалния сметкоплан и специализирано програмно осигуряване.</w:t>
      </w:r>
    </w:p>
    <w:p w14:paraId="3948D31A" w14:textId="1F176172"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32</w:t>
      </w:r>
      <w:r w:rsidRPr="009C797D">
        <w:rPr>
          <w:rFonts w:ascii="Calibri" w:hAnsi="Calibri"/>
          <w:color w:val="000000"/>
          <w:kern w:val="2"/>
          <w:sz w:val="22"/>
          <w:szCs w:val="22"/>
          <w:lang w:val="be-BY"/>
        </w:rPr>
        <w:t>. Цел на счетоводните процедури е чрез наблюдение и своевременно сигнализиране на отговорните лица, да се избегнат нарушения на капиталовите и ликвидни изисквания, съгласно Регламент 575/2013 и Регламент (ЕС) 2019/2033.</w:t>
      </w:r>
    </w:p>
    <w:p w14:paraId="52A08C18" w14:textId="5F020943" w:rsid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33</w:t>
      </w:r>
      <w:r w:rsidRPr="009C797D">
        <w:rPr>
          <w:rFonts w:ascii="Calibri" w:hAnsi="Calibri"/>
          <w:color w:val="000000"/>
          <w:kern w:val="2"/>
          <w:sz w:val="22"/>
          <w:szCs w:val="22"/>
          <w:lang w:val="be-BY"/>
        </w:rPr>
        <w:t>. За целите на изискванията на регулаторните органи, цел на счетоводните процедури е вярно и своевременно изготвяне и изпращане към Комисията за финансов надзор на всички изискуеми отчетни форми, наложени в Наредба 50, Регламент (ЕС) 2019/2033 и Регламент 575/2013.</w:t>
      </w:r>
    </w:p>
    <w:p w14:paraId="3A25752F" w14:textId="77777777" w:rsidR="009C797D" w:rsidRDefault="009C797D" w:rsidP="009C797D">
      <w:pPr>
        <w:pStyle w:val="BodyText"/>
        <w:jc w:val="both"/>
        <w:rPr>
          <w:rFonts w:ascii="Calibri" w:hAnsi="Calibri"/>
          <w:color w:val="000000"/>
          <w:kern w:val="2"/>
          <w:sz w:val="22"/>
          <w:szCs w:val="22"/>
          <w:lang w:val="be-BY"/>
        </w:rPr>
      </w:pPr>
    </w:p>
    <w:p w14:paraId="79EF1962" w14:textId="4A28A20B" w:rsidR="009C797D" w:rsidRPr="00416E2D" w:rsidRDefault="009C797D" w:rsidP="009C797D">
      <w:pPr>
        <w:pStyle w:val="BodyTextIndent"/>
        <w:numPr>
          <w:ilvl w:val="0"/>
          <w:numId w:val="11"/>
        </w:numPr>
        <w:tabs>
          <w:tab w:val="num" w:pos="567"/>
        </w:tabs>
        <w:spacing w:after="0"/>
        <w:ind w:left="567" w:hanging="283"/>
        <w:jc w:val="both"/>
        <w:rPr>
          <w:b/>
        </w:rPr>
      </w:pPr>
      <w:r>
        <w:rPr>
          <w:b/>
        </w:rPr>
        <w:t>Действия за осъществяване на счетоводните процедури</w:t>
      </w:r>
      <w:r w:rsidRPr="00416E2D">
        <w:rPr>
          <w:b/>
        </w:rPr>
        <w:t>:</w:t>
      </w:r>
    </w:p>
    <w:p w14:paraId="1A79128B" w14:textId="77777777" w:rsidR="009C797D" w:rsidRPr="009C797D" w:rsidRDefault="009C797D" w:rsidP="009C797D">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34. </w:t>
      </w:r>
      <w:r w:rsidRPr="009C797D">
        <w:rPr>
          <w:rFonts w:ascii="Calibri" w:hAnsi="Calibri"/>
          <w:color w:val="000000"/>
          <w:kern w:val="2"/>
          <w:sz w:val="22"/>
          <w:szCs w:val="22"/>
          <w:lang w:val="be-BY"/>
        </w:rPr>
        <w:t>За осъществяване на целите, стоящи пред счетоводните процедури за управление на рисковете и оценка адекватността и ликвидността на капитала са необходими редица действия и съгласуваност с всички звена при инвестиционния посредник.</w:t>
      </w:r>
    </w:p>
    <w:p w14:paraId="0CDCAB70" w14:textId="154748EB"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 xml:space="preserve">Чл. </w:t>
      </w:r>
      <w:r>
        <w:rPr>
          <w:rFonts w:ascii="Calibri" w:hAnsi="Calibri"/>
          <w:color w:val="000000"/>
          <w:kern w:val="2"/>
          <w:sz w:val="22"/>
          <w:szCs w:val="22"/>
          <w:lang w:val="be-BY"/>
        </w:rPr>
        <w:t>35</w:t>
      </w:r>
      <w:r w:rsidRPr="009C797D">
        <w:rPr>
          <w:rFonts w:ascii="Calibri" w:hAnsi="Calibri"/>
          <w:color w:val="000000"/>
          <w:kern w:val="2"/>
          <w:sz w:val="22"/>
          <w:szCs w:val="22"/>
          <w:lang w:val="be-BY"/>
        </w:rPr>
        <w:t>. Предпоставките за правилното функциониране на счетоводните процедури са следните:</w:t>
      </w:r>
    </w:p>
    <w:p w14:paraId="08A9A834"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w:t>
      </w:r>
      <w:r w:rsidRPr="009C797D">
        <w:rPr>
          <w:rFonts w:ascii="Calibri" w:hAnsi="Calibri"/>
          <w:color w:val="000000"/>
          <w:kern w:val="2"/>
          <w:sz w:val="22"/>
          <w:szCs w:val="22"/>
          <w:lang w:val="be-BY"/>
        </w:rPr>
        <w:tab/>
        <w:t>Спазване на одобрената от Съвета на директорите счетоводна политика на инвестиционния посредник, изработена в съответствие с Международните стандарти  за финансови отчети;</w:t>
      </w:r>
    </w:p>
    <w:p w14:paraId="6FA6956D"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2.</w:t>
      </w:r>
      <w:r w:rsidRPr="009C797D">
        <w:rPr>
          <w:rFonts w:ascii="Calibri" w:hAnsi="Calibri"/>
          <w:color w:val="000000"/>
          <w:kern w:val="2"/>
          <w:sz w:val="22"/>
          <w:szCs w:val="22"/>
          <w:lang w:val="be-BY"/>
        </w:rPr>
        <w:tab/>
        <w:t>Вярно, точно и своевременно осчетоводяване на стопанските процеси;</w:t>
      </w:r>
    </w:p>
    <w:p w14:paraId="64BF5BD3" w14:textId="09B20BDA"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3.</w:t>
      </w:r>
      <w:r w:rsidRPr="009C797D">
        <w:rPr>
          <w:rFonts w:ascii="Calibri" w:hAnsi="Calibri"/>
          <w:color w:val="000000"/>
          <w:kern w:val="2"/>
          <w:sz w:val="22"/>
          <w:szCs w:val="22"/>
          <w:lang w:val="be-BY"/>
        </w:rPr>
        <w:tab/>
        <w:t xml:space="preserve">Осигуряване на необходимия информационен поток към </w:t>
      </w:r>
      <w:r>
        <w:rPr>
          <w:rFonts w:ascii="Calibri" w:hAnsi="Calibri"/>
          <w:color w:val="000000"/>
          <w:kern w:val="2"/>
          <w:sz w:val="22"/>
          <w:szCs w:val="22"/>
          <w:lang w:val="be-BY"/>
        </w:rPr>
        <w:t>отедел</w:t>
      </w:r>
      <w:r w:rsidRPr="009C797D">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9C797D">
        <w:rPr>
          <w:rFonts w:ascii="Calibri" w:hAnsi="Calibri"/>
          <w:color w:val="000000"/>
          <w:kern w:val="2"/>
          <w:sz w:val="22"/>
          <w:szCs w:val="22"/>
          <w:lang w:val="be-BY"/>
        </w:rPr>
        <w:t>четоводство“;</w:t>
      </w:r>
    </w:p>
    <w:p w14:paraId="1C3296C7" w14:textId="4E6B2E84"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4.</w:t>
      </w:r>
      <w:r w:rsidRPr="009C797D">
        <w:rPr>
          <w:rFonts w:ascii="Calibri" w:hAnsi="Calibri"/>
          <w:color w:val="000000"/>
          <w:kern w:val="2"/>
          <w:sz w:val="22"/>
          <w:szCs w:val="22"/>
          <w:lang w:val="be-BY"/>
        </w:rPr>
        <w:tab/>
        <w:t xml:space="preserve">Навременност на подаваната към </w:t>
      </w:r>
      <w:r>
        <w:rPr>
          <w:rFonts w:ascii="Calibri" w:hAnsi="Calibri"/>
          <w:color w:val="000000"/>
          <w:kern w:val="2"/>
          <w:sz w:val="22"/>
          <w:szCs w:val="22"/>
          <w:lang w:val="be-BY"/>
        </w:rPr>
        <w:t>отдел</w:t>
      </w:r>
      <w:r w:rsidRPr="009C797D">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9C797D">
        <w:rPr>
          <w:rFonts w:ascii="Calibri" w:hAnsi="Calibri"/>
          <w:color w:val="000000"/>
          <w:kern w:val="2"/>
          <w:sz w:val="22"/>
          <w:szCs w:val="22"/>
          <w:lang w:val="be-BY"/>
        </w:rPr>
        <w:t>четоводство“ информация;</w:t>
      </w:r>
    </w:p>
    <w:p w14:paraId="5BCF2410"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5.</w:t>
      </w:r>
      <w:r w:rsidRPr="009C797D">
        <w:rPr>
          <w:rFonts w:ascii="Calibri" w:hAnsi="Calibri"/>
          <w:color w:val="000000"/>
          <w:kern w:val="2"/>
          <w:sz w:val="22"/>
          <w:szCs w:val="22"/>
          <w:lang w:val="be-BY"/>
        </w:rPr>
        <w:tab/>
        <w:t>Структуриране на индивидуалния сметкоплан за целите на получаване на необходимата счетоводна информация;</w:t>
      </w:r>
    </w:p>
    <w:p w14:paraId="34A75680" w14:textId="5E92B73E"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lastRenderedPageBreak/>
        <w:t>6.</w:t>
      </w:r>
      <w:r w:rsidRPr="009C797D">
        <w:rPr>
          <w:rFonts w:ascii="Calibri" w:hAnsi="Calibri"/>
          <w:color w:val="000000"/>
          <w:kern w:val="2"/>
          <w:sz w:val="22"/>
          <w:szCs w:val="22"/>
          <w:lang w:val="be-BY"/>
        </w:rPr>
        <w:tab/>
        <w:t xml:space="preserve">Активно взаимодействие с </w:t>
      </w:r>
      <w:r>
        <w:rPr>
          <w:rFonts w:ascii="Calibri" w:hAnsi="Calibri"/>
          <w:color w:val="000000"/>
          <w:kern w:val="2"/>
          <w:sz w:val="22"/>
          <w:szCs w:val="22"/>
          <w:lang w:val="be-BY"/>
        </w:rPr>
        <w:t>Вътрешен контрол</w:t>
      </w:r>
      <w:r w:rsidRPr="009C797D">
        <w:rPr>
          <w:rFonts w:ascii="Calibri" w:hAnsi="Calibri"/>
          <w:color w:val="000000"/>
          <w:kern w:val="2"/>
          <w:sz w:val="22"/>
          <w:szCs w:val="22"/>
          <w:lang w:val="be-BY"/>
        </w:rPr>
        <w:t xml:space="preserve"> и другите звена при инвестиционния посредник за получаване на вярна и навременна информация за степента на изложеност на риск и респективно необходимото ниво на капитал, отговарящо на рисковите експозиции;</w:t>
      </w:r>
    </w:p>
    <w:p w14:paraId="12AE3A6E"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7.</w:t>
      </w:r>
      <w:r w:rsidRPr="009C797D">
        <w:rPr>
          <w:rFonts w:ascii="Calibri" w:hAnsi="Calibri"/>
          <w:color w:val="000000"/>
          <w:kern w:val="2"/>
          <w:sz w:val="22"/>
          <w:szCs w:val="22"/>
          <w:lang w:val="be-BY"/>
        </w:rPr>
        <w:tab/>
        <w:t>Наличие на програмни продукти, осигуряващи автоматизиране на процесите, систематизиране на информацията, улесняване достъпа на данните от първичните документи и източници и надеждното им архивиране;</w:t>
      </w:r>
    </w:p>
    <w:p w14:paraId="41043DD7" w14:textId="660DAD81"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8.</w:t>
      </w:r>
      <w:r w:rsidRPr="009C797D">
        <w:rPr>
          <w:rFonts w:ascii="Calibri" w:hAnsi="Calibri"/>
          <w:color w:val="000000"/>
          <w:kern w:val="2"/>
          <w:sz w:val="22"/>
          <w:szCs w:val="22"/>
          <w:lang w:val="be-BY"/>
        </w:rPr>
        <w:tab/>
        <w:t xml:space="preserve">Организационна структура на </w:t>
      </w:r>
      <w:r>
        <w:rPr>
          <w:rFonts w:ascii="Calibri" w:hAnsi="Calibri"/>
          <w:color w:val="000000"/>
          <w:kern w:val="2"/>
          <w:sz w:val="22"/>
          <w:szCs w:val="22"/>
          <w:lang w:val="be-BY"/>
        </w:rPr>
        <w:t>отдел</w:t>
      </w:r>
      <w:r w:rsidRPr="009C797D">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9C797D">
        <w:rPr>
          <w:rFonts w:ascii="Calibri" w:hAnsi="Calibri"/>
          <w:color w:val="000000"/>
          <w:kern w:val="2"/>
          <w:sz w:val="22"/>
          <w:szCs w:val="22"/>
          <w:lang w:val="be-BY"/>
        </w:rPr>
        <w:t>четоводство“ в съответствие с нуждите на инвестиционния посредник, при ясно определени права, отговорности и нива на достъп до информацията;</w:t>
      </w:r>
    </w:p>
    <w:p w14:paraId="5AC53D91"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9.</w:t>
      </w:r>
      <w:r w:rsidRPr="009C797D">
        <w:rPr>
          <w:rFonts w:ascii="Calibri" w:hAnsi="Calibri"/>
          <w:color w:val="000000"/>
          <w:kern w:val="2"/>
          <w:sz w:val="22"/>
          <w:szCs w:val="22"/>
          <w:lang w:val="be-BY"/>
        </w:rPr>
        <w:tab/>
        <w:t>Ежедневно осчетоводяване на всички операции в инвестиционния посредник, както и преоценка на ценните книжа в търговския и инвестиционен портфейл, съобразно нормативните изисквания и възприетата счетоводна политика;</w:t>
      </w:r>
    </w:p>
    <w:p w14:paraId="5BD7C30F" w14:textId="77777777"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10.</w:t>
      </w:r>
      <w:r w:rsidRPr="009C797D">
        <w:rPr>
          <w:rFonts w:ascii="Calibri" w:hAnsi="Calibri"/>
          <w:color w:val="000000"/>
          <w:kern w:val="2"/>
          <w:sz w:val="22"/>
          <w:szCs w:val="22"/>
          <w:lang w:val="be-BY"/>
        </w:rPr>
        <w:tab/>
        <w:t>Ежедневно извличане, предоставяне на други звена и на ръководството на инвестиционния посредник, както и анализ на информацията за оценка на рисковете, адекватността на капитала и ликвидността на инвестиционния посредник. Ежедневно изготвяне на баланс и аналитична оборотна ведомост и активно участие при изготвяне на ежедневната справка за капиталовата адекватност и ликвидност на посредника;</w:t>
      </w:r>
    </w:p>
    <w:p w14:paraId="12F9696D" w14:textId="6650D042"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11.</w:t>
      </w:r>
      <w:r w:rsidRPr="009C797D">
        <w:rPr>
          <w:rFonts w:ascii="Calibri" w:hAnsi="Calibri"/>
          <w:color w:val="000000"/>
          <w:kern w:val="2"/>
          <w:sz w:val="22"/>
          <w:szCs w:val="22"/>
          <w:lang w:val="be-BY"/>
        </w:rPr>
        <w:tab/>
        <w:t xml:space="preserve">Предвиждане на коригиращи действия при допускане на грешки от различно естество в </w:t>
      </w:r>
      <w:r>
        <w:rPr>
          <w:rFonts w:ascii="Calibri" w:hAnsi="Calibri"/>
          <w:color w:val="000000"/>
          <w:kern w:val="2"/>
          <w:sz w:val="22"/>
          <w:szCs w:val="22"/>
          <w:lang w:val="be-BY"/>
        </w:rPr>
        <w:t>отдел</w:t>
      </w:r>
      <w:r w:rsidRPr="009C797D">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9C797D">
        <w:rPr>
          <w:rFonts w:ascii="Calibri" w:hAnsi="Calibri"/>
          <w:color w:val="000000"/>
          <w:kern w:val="2"/>
          <w:sz w:val="22"/>
          <w:szCs w:val="22"/>
          <w:lang w:val="be-BY"/>
        </w:rPr>
        <w:t>четоводство“;</w:t>
      </w:r>
    </w:p>
    <w:p w14:paraId="054E3E43" w14:textId="7DD75ACB" w:rsidR="009C797D" w:rsidRP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12.</w:t>
      </w:r>
      <w:r w:rsidRPr="009C797D">
        <w:rPr>
          <w:rFonts w:ascii="Calibri" w:hAnsi="Calibri"/>
          <w:color w:val="000000"/>
          <w:kern w:val="2"/>
          <w:sz w:val="22"/>
          <w:szCs w:val="22"/>
          <w:lang w:val="be-BY"/>
        </w:rPr>
        <w:tab/>
        <w:t xml:space="preserve">Възможност за контрол на дейността от </w:t>
      </w:r>
      <w:r>
        <w:rPr>
          <w:rFonts w:ascii="Calibri" w:hAnsi="Calibri"/>
          <w:color w:val="000000"/>
          <w:kern w:val="2"/>
          <w:sz w:val="22"/>
          <w:szCs w:val="22"/>
          <w:lang w:val="be-BY"/>
        </w:rPr>
        <w:t>Вътрешен контрол</w:t>
      </w:r>
      <w:r w:rsidRPr="009C797D">
        <w:rPr>
          <w:rFonts w:ascii="Calibri" w:hAnsi="Calibri"/>
          <w:color w:val="000000"/>
          <w:kern w:val="2"/>
          <w:sz w:val="22"/>
          <w:szCs w:val="22"/>
          <w:lang w:val="be-BY"/>
        </w:rPr>
        <w:t xml:space="preserve"> и Съвета на директорите на инвестиционния посредник;</w:t>
      </w:r>
    </w:p>
    <w:p w14:paraId="008142DF" w14:textId="25B744A4" w:rsidR="009C797D" w:rsidRDefault="009C797D" w:rsidP="009C797D">
      <w:pPr>
        <w:pStyle w:val="BodyText"/>
        <w:jc w:val="both"/>
        <w:rPr>
          <w:rFonts w:ascii="Calibri" w:hAnsi="Calibri"/>
          <w:color w:val="000000"/>
          <w:kern w:val="2"/>
          <w:sz w:val="22"/>
          <w:szCs w:val="22"/>
          <w:lang w:val="be-BY"/>
        </w:rPr>
      </w:pPr>
      <w:r w:rsidRPr="009C797D">
        <w:rPr>
          <w:rFonts w:ascii="Calibri" w:hAnsi="Calibri"/>
          <w:color w:val="000000"/>
          <w:kern w:val="2"/>
          <w:sz w:val="22"/>
          <w:szCs w:val="22"/>
          <w:lang w:val="be-BY"/>
        </w:rPr>
        <w:t>13.</w:t>
      </w:r>
      <w:r w:rsidRPr="009C797D">
        <w:rPr>
          <w:rFonts w:ascii="Calibri" w:hAnsi="Calibri"/>
          <w:color w:val="000000"/>
          <w:kern w:val="2"/>
          <w:sz w:val="22"/>
          <w:szCs w:val="22"/>
          <w:lang w:val="be-BY"/>
        </w:rPr>
        <w:tab/>
        <w:t>Надеждно съхраняване на хартиените носители на информация чрез осигуряването на подходящи помещения за това.</w:t>
      </w:r>
    </w:p>
    <w:p w14:paraId="5A55C7FF" w14:textId="77777777" w:rsidR="009C797D" w:rsidRDefault="009C797D" w:rsidP="009C797D">
      <w:pPr>
        <w:pStyle w:val="BodyText"/>
        <w:jc w:val="both"/>
        <w:rPr>
          <w:rFonts w:ascii="Calibri" w:hAnsi="Calibri"/>
          <w:color w:val="000000"/>
          <w:kern w:val="2"/>
          <w:sz w:val="22"/>
          <w:szCs w:val="22"/>
          <w:lang w:val="be-BY"/>
        </w:rPr>
      </w:pPr>
    </w:p>
    <w:p w14:paraId="5C6FD346" w14:textId="416270E8" w:rsidR="003042F9" w:rsidRDefault="003042F9" w:rsidP="003042F9">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Pr>
          <w:rFonts w:cs="Calibri"/>
          <w:b/>
          <w:bCs/>
          <w:sz w:val="24"/>
          <w:szCs w:val="24"/>
          <w:lang w:val="bg-BG" w:eastAsia="bg-BG"/>
          <w14:shadow w14:blurRad="50800" w14:dist="38100" w14:dir="2700000" w14:sx="100000" w14:sy="100000" w14:kx="0" w14:ky="0" w14:algn="tl">
            <w14:srgbClr w14:val="000000">
              <w14:alpha w14:val="60000"/>
            </w14:srgbClr>
          </w14:shadow>
        </w:rPr>
        <w:t>ИЗБОР ЗА СЛЕДВАНЕ НА ОПРЕДЕЛЕНИ, НОРМАТИВНО ДОПУСТИМИ ПРАВИЛА ПРИ ОЦЕНЯВАНЕТО НА КАПИТАЛОВАТА АДЕКВАТНОСТ И ЛИКВИДНОСТТА НА ИНВЕСТИЦИОННИЯ ПОСРЕДНИК</w:t>
      </w:r>
    </w:p>
    <w:p w14:paraId="024F53FF" w14:textId="77777777" w:rsidR="003042F9" w:rsidRPr="003042F9" w:rsidRDefault="003042F9" w:rsidP="003042F9">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36. </w:t>
      </w:r>
      <w:r w:rsidRPr="003042F9">
        <w:rPr>
          <w:rFonts w:ascii="Calibri" w:hAnsi="Calibri"/>
          <w:color w:val="000000"/>
          <w:kern w:val="2"/>
          <w:sz w:val="22"/>
          <w:szCs w:val="22"/>
          <w:lang w:val="be-BY"/>
        </w:rPr>
        <w:t>Инвестиционният посредник дефинира определени правила, които ще следва последователно във връзка с изчисляване на капиталовите изисквания за различните видове рискове. Така определените правила за действие обвързват инвестиционния посредник с изискванията при пресмятането на капиталовите ангажименти за различните видове рискове.</w:t>
      </w:r>
    </w:p>
    <w:p w14:paraId="58E6D6B1" w14:textId="11517B62"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Pr>
          <w:rFonts w:ascii="Calibri" w:hAnsi="Calibri"/>
          <w:color w:val="000000"/>
          <w:kern w:val="2"/>
          <w:sz w:val="22"/>
          <w:szCs w:val="22"/>
          <w:lang w:val="be-BY"/>
        </w:rPr>
        <w:t>37</w:t>
      </w:r>
      <w:r w:rsidRPr="003042F9">
        <w:rPr>
          <w:rFonts w:ascii="Calibri" w:hAnsi="Calibri"/>
          <w:color w:val="000000"/>
          <w:kern w:val="2"/>
          <w:sz w:val="22"/>
          <w:szCs w:val="22"/>
          <w:lang w:val="be-BY"/>
        </w:rPr>
        <w:t>. Инвестиционният посредник дефинира източниците на ценова информация, данните от които ще се ползват за ежедневна и/или ежемесечна преоценка на позициите в търговския и инвестиционния му портфейл, както и отговорните за това служители.</w:t>
      </w:r>
    </w:p>
    <w:p w14:paraId="34C4F247" w14:textId="2B78024C"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Pr>
          <w:rFonts w:ascii="Calibri" w:hAnsi="Calibri"/>
          <w:color w:val="000000"/>
          <w:kern w:val="2"/>
          <w:sz w:val="22"/>
          <w:szCs w:val="22"/>
          <w:lang w:val="be-BY"/>
        </w:rPr>
        <w:t>38</w:t>
      </w:r>
      <w:r w:rsidRPr="003042F9">
        <w:rPr>
          <w:rFonts w:ascii="Calibri" w:hAnsi="Calibri"/>
          <w:color w:val="000000"/>
          <w:kern w:val="2"/>
          <w:sz w:val="22"/>
          <w:szCs w:val="22"/>
          <w:lang w:val="be-BY"/>
        </w:rPr>
        <w:t xml:space="preserve">. Източници на цени са регулираните пазари на ценни книжа – БФБ и чуждестранни регулирани пазари, на които се търгуват ценни книжа на </w:t>
      </w:r>
      <w:r>
        <w:rPr>
          <w:rFonts w:ascii="Calibri" w:hAnsi="Calibri"/>
          <w:color w:val="000000"/>
          <w:kern w:val="2"/>
          <w:sz w:val="22"/>
          <w:szCs w:val="22"/>
          <w:lang w:val="be-BY"/>
        </w:rPr>
        <w:t xml:space="preserve">клиетите на инвестиционния </w:t>
      </w:r>
      <w:r w:rsidRPr="003042F9">
        <w:rPr>
          <w:rFonts w:ascii="Calibri" w:hAnsi="Calibri"/>
          <w:color w:val="000000"/>
          <w:kern w:val="2"/>
          <w:sz w:val="22"/>
          <w:szCs w:val="22"/>
          <w:lang w:val="be-BY"/>
        </w:rPr>
        <w:t>посредник.</w:t>
      </w:r>
    </w:p>
    <w:p w14:paraId="79688AFA" w14:textId="35FCF9B2"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Pr>
          <w:rFonts w:ascii="Calibri" w:hAnsi="Calibri"/>
          <w:color w:val="000000"/>
          <w:kern w:val="2"/>
          <w:sz w:val="22"/>
          <w:szCs w:val="22"/>
          <w:lang w:val="be-BY"/>
        </w:rPr>
        <w:t>39</w:t>
      </w:r>
      <w:r w:rsidRPr="003042F9">
        <w:rPr>
          <w:rFonts w:ascii="Calibri" w:hAnsi="Calibri"/>
          <w:color w:val="000000"/>
          <w:kern w:val="2"/>
          <w:sz w:val="22"/>
          <w:szCs w:val="22"/>
          <w:lang w:val="be-BY"/>
        </w:rPr>
        <w:t>. Източници на котировки могат да бъдат признати световни информационни агенции като REUTERS, BLOOMBERG и т.н. За оценка на българските държавни ценни книжа могат да се ползват котировки от първични дилъри за тях, като в този случай се изисква да се определят дилърите и отговорните лица за колектиране и обработка на информацията.</w:t>
      </w:r>
    </w:p>
    <w:p w14:paraId="3AA88EC2" w14:textId="402A4EEE"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Pr>
          <w:rFonts w:ascii="Calibri" w:hAnsi="Calibri"/>
          <w:color w:val="000000"/>
          <w:kern w:val="2"/>
          <w:sz w:val="22"/>
          <w:szCs w:val="22"/>
          <w:lang w:val="be-BY"/>
        </w:rPr>
        <w:t>40</w:t>
      </w:r>
      <w:r w:rsidRPr="003042F9">
        <w:rPr>
          <w:rFonts w:ascii="Calibri" w:hAnsi="Calibri"/>
          <w:color w:val="000000"/>
          <w:kern w:val="2"/>
          <w:sz w:val="22"/>
          <w:szCs w:val="22"/>
          <w:lang w:val="be-BY"/>
        </w:rPr>
        <w:t>. За всяка от позициите във финансови инструменти, които нямат текущи котировки за цени се определя метод за пресмятане на справедливата й цена, като този метод се следва последователно. Отговорните за пресмятането на справедливите цени длъжностни лица, трябва да могат да дават разяснения по калкулациите и периодично да проверяват пригодността и адекватността на използваните методи.</w:t>
      </w:r>
    </w:p>
    <w:p w14:paraId="33ACD0DF" w14:textId="67564473"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lastRenderedPageBreak/>
        <w:t xml:space="preserve">Чл. </w:t>
      </w:r>
      <w:r>
        <w:rPr>
          <w:rFonts w:ascii="Calibri" w:hAnsi="Calibri"/>
          <w:color w:val="000000"/>
          <w:kern w:val="2"/>
          <w:sz w:val="22"/>
          <w:szCs w:val="22"/>
          <w:lang w:val="be-BY"/>
        </w:rPr>
        <w:t>41</w:t>
      </w:r>
      <w:r w:rsidRPr="003042F9">
        <w:rPr>
          <w:rFonts w:ascii="Calibri" w:hAnsi="Calibri"/>
          <w:color w:val="000000"/>
          <w:kern w:val="2"/>
          <w:sz w:val="22"/>
          <w:szCs w:val="22"/>
          <w:lang w:val="be-BY"/>
        </w:rPr>
        <w:t xml:space="preserve">. </w:t>
      </w:r>
      <w:r>
        <w:rPr>
          <w:rFonts w:ascii="Calibri" w:hAnsi="Calibri"/>
          <w:color w:val="000000"/>
          <w:kern w:val="2"/>
          <w:sz w:val="22"/>
          <w:szCs w:val="22"/>
          <w:lang w:val="be-BY"/>
        </w:rPr>
        <w:t>Отдел</w:t>
      </w:r>
      <w:r w:rsidRPr="003042F9">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3042F9">
        <w:rPr>
          <w:rFonts w:ascii="Calibri" w:hAnsi="Calibri"/>
          <w:color w:val="000000"/>
          <w:kern w:val="2"/>
          <w:sz w:val="22"/>
          <w:szCs w:val="22"/>
          <w:lang w:val="be-BY"/>
        </w:rPr>
        <w:t xml:space="preserve">етоводство“ и </w:t>
      </w:r>
      <w:r>
        <w:rPr>
          <w:rFonts w:ascii="Calibri" w:hAnsi="Calibri"/>
          <w:color w:val="000000"/>
          <w:kern w:val="2"/>
          <w:sz w:val="22"/>
          <w:szCs w:val="22"/>
          <w:lang w:val="be-BY"/>
        </w:rPr>
        <w:t>Вътрешен контрол</w:t>
      </w:r>
      <w:r w:rsidRPr="003042F9">
        <w:rPr>
          <w:rFonts w:ascii="Calibri" w:hAnsi="Calibri"/>
          <w:color w:val="000000"/>
          <w:kern w:val="2"/>
          <w:sz w:val="22"/>
          <w:szCs w:val="22"/>
          <w:lang w:val="be-BY"/>
        </w:rPr>
        <w:t xml:space="preserve"> следят за отклоненията в сетълмента по сделките с дългови инструменти, акции, валути и стоки. При разминаване на сетълмента с договорената дата, както и при наличието на кредитен риск на насрещната страна, инвестиционният посредник изчислява и поддържа собствен капитал за покритие на тези рискове.</w:t>
      </w:r>
    </w:p>
    <w:p w14:paraId="07D5C532" w14:textId="6703A167" w:rsidR="003042F9" w:rsidRPr="003042F9"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Pr>
          <w:rFonts w:ascii="Calibri" w:hAnsi="Calibri"/>
          <w:color w:val="000000"/>
          <w:kern w:val="2"/>
          <w:sz w:val="22"/>
          <w:szCs w:val="22"/>
          <w:lang w:val="be-BY"/>
        </w:rPr>
        <w:t>42</w:t>
      </w:r>
      <w:r w:rsidRPr="003042F9">
        <w:rPr>
          <w:rFonts w:ascii="Calibri" w:hAnsi="Calibri"/>
          <w:color w:val="000000"/>
          <w:kern w:val="2"/>
          <w:sz w:val="22"/>
          <w:szCs w:val="22"/>
          <w:lang w:val="be-BY"/>
        </w:rPr>
        <w:t xml:space="preserve">. Задължението за изчисляване на капиталови изисквания за риска, свързан с валутния курс е основание инвестиционният посредник, чрез </w:t>
      </w:r>
      <w:r>
        <w:rPr>
          <w:rFonts w:ascii="Calibri" w:hAnsi="Calibri"/>
          <w:color w:val="000000"/>
          <w:kern w:val="2"/>
          <w:sz w:val="22"/>
          <w:szCs w:val="22"/>
          <w:lang w:val="be-BY"/>
        </w:rPr>
        <w:t>Вътрешен контрол</w:t>
      </w:r>
      <w:r w:rsidRPr="003042F9">
        <w:rPr>
          <w:rFonts w:ascii="Calibri" w:hAnsi="Calibri"/>
          <w:color w:val="000000"/>
          <w:kern w:val="2"/>
          <w:sz w:val="22"/>
          <w:szCs w:val="22"/>
          <w:lang w:val="be-BY"/>
        </w:rPr>
        <w:t>, ежедневно да наблюдава дългите и късите си позиции си в чуждестранна валута.</w:t>
      </w:r>
    </w:p>
    <w:p w14:paraId="4BE2C265" w14:textId="40B1C5F3" w:rsidR="009C797D" w:rsidRDefault="003042F9" w:rsidP="003042F9">
      <w:pPr>
        <w:pStyle w:val="BodyText"/>
        <w:jc w:val="both"/>
        <w:rPr>
          <w:rFonts w:ascii="Calibri" w:hAnsi="Calibri"/>
          <w:color w:val="000000"/>
          <w:kern w:val="2"/>
          <w:sz w:val="22"/>
          <w:szCs w:val="22"/>
          <w:lang w:val="be-BY"/>
        </w:rPr>
      </w:pPr>
      <w:r w:rsidRPr="003042F9">
        <w:rPr>
          <w:rFonts w:ascii="Calibri" w:hAnsi="Calibri"/>
          <w:color w:val="000000"/>
          <w:kern w:val="2"/>
          <w:sz w:val="22"/>
          <w:szCs w:val="22"/>
          <w:lang w:val="be-BY"/>
        </w:rPr>
        <w:t xml:space="preserve">Чл. </w:t>
      </w:r>
      <w:r w:rsidR="006C0C50">
        <w:rPr>
          <w:rFonts w:ascii="Calibri" w:hAnsi="Calibri"/>
          <w:color w:val="000000"/>
          <w:kern w:val="2"/>
          <w:sz w:val="22"/>
          <w:szCs w:val="22"/>
          <w:lang w:val="be-BY"/>
        </w:rPr>
        <w:t>43</w:t>
      </w:r>
      <w:r w:rsidRPr="003042F9">
        <w:rPr>
          <w:rFonts w:ascii="Calibri" w:hAnsi="Calibri"/>
          <w:color w:val="000000"/>
          <w:kern w:val="2"/>
          <w:sz w:val="22"/>
          <w:szCs w:val="22"/>
          <w:lang w:val="be-BY"/>
        </w:rPr>
        <w:t>. Отговорностите за спазването на изискванията за покриване на капиталовите изисквания на различните видове риск се разпределя между отделните звена в инвестиционния посредник на база предвидените ангажименти в настоящите правила.</w:t>
      </w:r>
    </w:p>
    <w:p w14:paraId="4EAF6D1E" w14:textId="77777777" w:rsidR="006C0C50" w:rsidRDefault="006C0C50" w:rsidP="003042F9">
      <w:pPr>
        <w:pStyle w:val="BodyText"/>
        <w:jc w:val="both"/>
        <w:rPr>
          <w:rFonts w:ascii="Calibri" w:hAnsi="Calibri"/>
          <w:color w:val="000000"/>
          <w:kern w:val="2"/>
          <w:sz w:val="22"/>
          <w:szCs w:val="22"/>
          <w:lang w:val="be-BY"/>
        </w:rPr>
      </w:pPr>
    </w:p>
    <w:p w14:paraId="7A7CC095" w14:textId="4415DF21" w:rsidR="006C0C50" w:rsidRDefault="006C0C50" w:rsidP="006C0C50">
      <w:pPr>
        <w:pStyle w:val="NoSpacing"/>
        <w:numPr>
          <w:ilvl w:val="0"/>
          <w:numId w:val="6"/>
        </w:numPr>
        <w:autoSpaceDE w:val="0"/>
        <w:autoSpaceDN w:val="0"/>
        <w:adjustRightInd w:val="0"/>
        <w:ind w:left="426" w:hanging="426"/>
        <w:jc w:val="both"/>
        <w:rPr>
          <w:rFonts w:cs="Calibri"/>
          <w:b/>
          <w:bCs/>
          <w:sz w:val="24"/>
          <w:szCs w:val="24"/>
          <w:lang w:val="bg-BG" w:eastAsia="bg-BG"/>
          <w14:shadow w14:blurRad="50800" w14:dist="38100" w14:dir="2700000" w14:sx="100000" w14:sy="100000" w14:kx="0" w14:ky="0" w14:algn="tl">
            <w14:srgbClr w14:val="000000">
              <w14:alpha w14:val="60000"/>
            </w14:srgbClr>
          </w14:shadow>
        </w:rPr>
      </w:pPr>
      <w:r w:rsidRPr="006C0C50">
        <w:rPr>
          <w:rFonts w:cs="Calibri"/>
          <w:b/>
          <w:bCs/>
          <w:sz w:val="24"/>
          <w:szCs w:val="24"/>
          <w:lang w:val="bg-BG" w:eastAsia="bg-BG"/>
          <w14:shadow w14:blurRad="50800" w14:dist="38100" w14:dir="2700000" w14:sx="100000" w14:sy="100000" w14:kx="0" w14:ky="0" w14:algn="tl">
            <w14:srgbClr w14:val="000000">
              <w14:alpha w14:val="60000"/>
            </w14:srgbClr>
          </w14:shadow>
        </w:rPr>
        <w:t>ПРОЦЕДУРИ ЗА ОЦЕНКА И ПОДДЪРЖАНЕ НА СТОЙНОСТТА, ВИДОВЕТЕ И РАЗПРЕДЕЛЕНИЕТО НА ВЪТРЕШНИЯ КАПИТАЛ</w:t>
      </w:r>
    </w:p>
    <w:p w14:paraId="088A630B" w14:textId="77777777" w:rsidR="006C0C50" w:rsidRPr="006C0C50" w:rsidRDefault="006C0C50" w:rsidP="006C0C50">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44. </w:t>
      </w:r>
      <w:r w:rsidRPr="006C0C50">
        <w:rPr>
          <w:rFonts w:ascii="Calibri" w:hAnsi="Calibri"/>
          <w:color w:val="000000"/>
          <w:kern w:val="2"/>
          <w:sz w:val="22"/>
          <w:szCs w:val="22"/>
          <w:lang w:val="be-BY"/>
        </w:rPr>
        <w:t>(1) Капиталът на инвестиционния посредник представлява собствените средства, които служат за покриване на рискове, възникнали във връзка с дейността му. Той гарантира изпълнението на поетите ангажименти пред контрагентите на Дружеството и е израз на ангажираността на акционерите в стопанските процеси.</w:t>
      </w:r>
    </w:p>
    <w:p w14:paraId="20FDF9DF" w14:textId="40065F3C" w:rsidR="006C0C50" w:rsidRDefault="006C0C50" w:rsidP="006C0C50">
      <w:pPr>
        <w:pStyle w:val="BodyText"/>
        <w:jc w:val="both"/>
        <w:rPr>
          <w:rFonts w:ascii="Calibri" w:hAnsi="Calibri"/>
          <w:color w:val="000000"/>
          <w:kern w:val="2"/>
          <w:sz w:val="22"/>
          <w:szCs w:val="22"/>
          <w:lang w:val="be-BY"/>
        </w:rPr>
      </w:pPr>
      <w:r w:rsidRPr="006C0C50">
        <w:rPr>
          <w:rFonts w:ascii="Calibri" w:hAnsi="Calibri"/>
          <w:color w:val="000000"/>
          <w:kern w:val="2"/>
          <w:sz w:val="22"/>
          <w:szCs w:val="22"/>
          <w:lang w:val="be-BY"/>
        </w:rPr>
        <w:t>(2) Вътрешният капитал на инвестиционния посредник са финансовите ресурси (заделените резерви) необходими за покриване на рисковете, съпътстващи неговата дейност .</w:t>
      </w:r>
    </w:p>
    <w:p w14:paraId="25604D28" w14:textId="77777777" w:rsidR="006C0C50" w:rsidRDefault="006C0C50" w:rsidP="003042F9">
      <w:pPr>
        <w:pStyle w:val="BodyText"/>
        <w:jc w:val="both"/>
        <w:rPr>
          <w:rFonts w:ascii="Calibri" w:hAnsi="Calibri"/>
          <w:color w:val="000000"/>
          <w:kern w:val="2"/>
          <w:sz w:val="22"/>
          <w:szCs w:val="22"/>
          <w:lang w:val="be-BY"/>
        </w:rPr>
      </w:pPr>
    </w:p>
    <w:p w14:paraId="6DDA302E" w14:textId="63931372" w:rsidR="006C0C50" w:rsidRPr="00416E2D" w:rsidRDefault="00887D77" w:rsidP="006C0C50">
      <w:pPr>
        <w:pStyle w:val="BodyTextIndent"/>
        <w:numPr>
          <w:ilvl w:val="0"/>
          <w:numId w:val="11"/>
        </w:numPr>
        <w:tabs>
          <w:tab w:val="num" w:pos="567"/>
        </w:tabs>
        <w:spacing w:after="0"/>
        <w:ind w:left="567" w:hanging="283"/>
        <w:jc w:val="both"/>
        <w:rPr>
          <w:b/>
        </w:rPr>
      </w:pPr>
      <w:r>
        <w:rPr>
          <w:b/>
        </w:rPr>
        <w:t>Оценка и поддържане на вътрешния капитал</w:t>
      </w:r>
      <w:r w:rsidR="006C0C50" w:rsidRPr="00416E2D">
        <w:rPr>
          <w:b/>
        </w:rPr>
        <w:t>:</w:t>
      </w:r>
    </w:p>
    <w:p w14:paraId="7F6669C4" w14:textId="24E5FFF4" w:rsidR="00887D77" w:rsidRPr="00887D77" w:rsidRDefault="00887D77" w:rsidP="00887D77">
      <w:pPr>
        <w:pStyle w:val="BodyText"/>
        <w:jc w:val="both"/>
        <w:rPr>
          <w:rFonts w:ascii="Calibri" w:hAnsi="Calibri"/>
          <w:color w:val="000000"/>
          <w:kern w:val="2"/>
          <w:sz w:val="22"/>
          <w:szCs w:val="22"/>
          <w:lang w:val="be-BY"/>
        </w:rPr>
      </w:pPr>
      <w:r>
        <w:rPr>
          <w:rFonts w:ascii="Calibri" w:hAnsi="Calibri"/>
          <w:color w:val="000000"/>
          <w:kern w:val="2"/>
          <w:sz w:val="22"/>
          <w:szCs w:val="22"/>
          <w:lang w:val="be-BY"/>
        </w:rPr>
        <w:t xml:space="preserve">Чл. 45. </w:t>
      </w:r>
      <w:r w:rsidRPr="00887D77">
        <w:rPr>
          <w:rFonts w:ascii="Calibri" w:hAnsi="Calibri"/>
          <w:color w:val="000000"/>
          <w:kern w:val="2"/>
          <w:sz w:val="22"/>
          <w:szCs w:val="22"/>
          <w:lang w:val="be-BY"/>
        </w:rPr>
        <w:t>(1) Собственият капитал на инвестиционния посредник трябва по всяко време да е минимум равен на капиталовите изисквания за покриване на рисковете, възникващи във връзка с цялостната дейност на посредника, изчислени съгласно изискванията на Наредба № 50, Регламент 575/2013 и Регламент (ЕС) 2019/2033, т.е. на вътрешния капитал.</w:t>
      </w:r>
    </w:p>
    <w:p w14:paraId="16F4878E" w14:textId="7B3FA06C"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(2)</w:t>
      </w:r>
      <w:r w:rsidRPr="00887D77">
        <w:rPr>
          <w:rFonts w:ascii="Calibri" w:hAnsi="Calibri"/>
          <w:color w:val="000000"/>
          <w:kern w:val="2"/>
          <w:sz w:val="22"/>
          <w:szCs w:val="22"/>
          <w:lang w:val="be-BY"/>
        </w:rPr>
        <w:tab/>
        <w:t xml:space="preserve">Размерът на вътрешния капитал се изчислява ежедневно от </w:t>
      </w:r>
      <w:r>
        <w:rPr>
          <w:rFonts w:ascii="Calibri" w:hAnsi="Calibri"/>
          <w:color w:val="000000"/>
          <w:kern w:val="2"/>
          <w:sz w:val="22"/>
          <w:szCs w:val="22"/>
          <w:lang w:val="be-BY"/>
        </w:rPr>
        <w:t>отдел</w:t>
      </w:r>
      <w:r w:rsidRPr="00887D77">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887D77">
        <w:rPr>
          <w:rFonts w:ascii="Calibri" w:hAnsi="Calibri"/>
          <w:color w:val="000000"/>
          <w:kern w:val="2"/>
          <w:sz w:val="22"/>
          <w:szCs w:val="22"/>
          <w:lang w:val="be-BY"/>
        </w:rPr>
        <w:t>четоводство“, на база нормативните разпоредби, съдържащи се в Наредба № 50, Регламент 575/2013 и Регламент (ЕС) 2019/2033 и отделните направления в дейността на инвестиционния посредник, за които се изисква заделяне на финансов ресурс.</w:t>
      </w:r>
    </w:p>
    <w:p w14:paraId="3E011619"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(3)</w:t>
      </w:r>
      <w:r w:rsidRPr="00887D77">
        <w:rPr>
          <w:rFonts w:ascii="Calibri" w:hAnsi="Calibri"/>
          <w:color w:val="000000"/>
          <w:kern w:val="2"/>
          <w:sz w:val="22"/>
          <w:szCs w:val="22"/>
          <w:lang w:val="be-BY"/>
        </w:rPr>
        <w:tab/>
        <w:t>Размерът на вътрешния капитал зависи както от текущата дейност на инвестиционния посредник, така и от дейността му в предходни години, тъй като за определени рискове, изчисленията се базират на данни от предходни финансови години.</w:t>
      </w:r>
    </w:p>
    <w:p w14:paraId="4AB989CF"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(4)</w:t>
      </w:r>
      <w:r w:rsidRPr="00887D77">
        <w:rPr>
          <w:rFonts w:ascii="Calibri" w:hAnsi="Calibri"/>
          <w:color w:val="000000"/>
          <w:kern w:val="2"/>
          <w:sz w:val="22"/>
          <w:szCs w:val="22"/>
          <w:lang w:val="be-BY"/>
        </w:rPr>
        <w:tab/>
        <w:t>Вътрешният капитал на инвестиционния посредник се изчислява на база следните елементи:</w:t>
      </w:r>
    </w:p>
    <w:p w14:paraId="4AE8A40A"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1.</w:t>
      </w:r>
      <w:r w:rsidRPr="00887D77">
        <w:rPr>
          <w:rFonts w:ascii="Calibri" w:hAnsi="Calibri"/>
          <w:color w:val="000000"/>
          <w:kern w:val="2"/>
          <w:sz w:val="22"/>
          <w:szCs w:val="22"/>
          <w:lang w:val="be-BY"/>
        </w:rPr>
        <w:tab/>
        <w:t>капиталови изисквания за кредитен риск и кредитен риск на насрещната страна;</w:t>
      </w:r>
    </w:p>
    <w:p w14:paraId="59E9E54E"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2.</w:t>
      </w:r>
      <w:r w:rsidRPr="00887D77">
        <w:rPr>
          <w:rFonts w:ascii="Calibri" w:hAnsi="Calibri"/>
          <w:color w:val="000000"/>
          <w:kern w:val="2"/>
          <w:sz w:val="22"/>
          <w:szCs w:val="22"/>
          <w:lang w:val="be-BY"/>
        </w:rPr>
        <w:tab/>
        <w:t>капиталови изисквания за сетълмент риска;</w:t>
      </w:r>
    </w:p>
    <w:p w14:paraId="7D0EBAB9"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3.</w:t>
      </w:r>
      <w:r w:rsidRPr="00887D77">
        <w:rPr>
          <w:rFonts w:ascii="Calibri" w:hAnsi="Calibri"/>
          <w:color w:val="000000"/>
          <w:kern w:val="2"/>
          <w:sz w:val="22"/>
          <w:szCs w:val="22"/>
          <w:lang w:val="be-BY"/>
        </w:rPr>
        <w:tab/>
        <w:t>капиталови изисквания за позиционен, валутен и стоков риск;</w:t>
      </w:r>
    </w:p>
    <w:p w14:paraId="391E3FCC"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4.</w:t>
      </w:r>
      <w:r w:rsidRPr="00887D77">
        <w:rPr>
          <w:rFonts w:ascii="Calibri" w:hAnsi="Calibri"/>
          <w:color w:val="000000"/>
          <w:kern w:val="2"/>
          <w:sz w:val="22"/>
          <w:szCs w:val="22"/>
          <w:lang w:val="be-BY"/>
        </w:rPr>
        <w:tab/>
        <w:t>капиталови изисквания за операционен риск;</w:t>
      </w:r>
    </w:p>
    <w:p w14:paraId="588240DC" w14:textId="77777777"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5.</w:t>
      </w:r>
      <w:r w:rsidRPr="00887D77">
        <w:rPr>
          <w:rFonts w:ascii="Calibri" w:hAnsi="Calibri"/>
          <w:color w:val="000000"/>
          <w:kern w:val="2"/>
          <w:sz w:val="22"/>
          <w:szCs w:val="22"/>
          <w:lang w:val="be-BY"/>
        </w:rPr>
        <w:tab/>
        <w:t>капиталови изисквания за риск при корекция на кредитната оценка.</w:t>
      </w:r>
    </w:p>
    <w:p w14:paraId="17FF2A44" w14:textId="52FA385C"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(5)</w:t>
      </w:r>
      <w:r w:rsidRPr="00887D77">
        <w:rPr>
          <w:rFonts w:ascii="Calibri" w:hAnsi="Calibri"/>
          <w:color w:val="000000"/>
          <w:kern w:val="2"/>
          <w:sz w:val="22"/>
          <w:szCs w:val="22"/>
          <w:lang w:val="be-BY"/>
        </w:rPr>
        <w:tab/>
        <w:t>При изчисляване на капиталовите изисквания за кредитен риск инвестиционния посредник, прилага Регламент (ЕС) 2019/2033 и стандартизирания метод, съгласно Регламент 575/2013.</w:t>
      </w:r>
    </w:p>
    <w:p w14:paraId="33052D39" w14:textId="6450F544"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lastRenderedPageBreak/>
        <w:t>(6)</w:t>
      </w:r>
      <w:r w:rsidRPr="00887D77">
        <w:rPr>
          <w:rFonts w:ascii="Calibri" w:hAnsi="Calibri"/>
          <w:color w:val="000000"/>
          <w:kern w:val="2"/>
          <w:sz w:val="22"/>
          <w:szCs w:val="22"/>
          <w:lang w:val="be-BY"/>
        </w:rPr>
        <w:tab/>
        <w:t>При изчисляване на капиталовите изисквания за позиционен риск, в частта за общ риск при търгувани дългови инструменти, инвестиционният посредник прилага Регламент (ЕС) 2019/2033 и падежния метод, съгласно Регламент 575/2013.</w:t>
      </w:r>
    </w:p>
    <w:p w14:paraId="68A4B839" w14:textId="10DE155C"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(7)</w:t>
      </w:r>
      <w:r w:rsidRPr="00887D77">
        <w:rPr>
          <w:rFonts w:ascii="Calibri" w:hAnsi="Calibri"/>
          <w:color w:val="000000"/>
          <w:kern w:val="2"/>
          <w:sz w:val="22"/>
          <w:szCs w:val="22"/>
          <w:lang w:val="be-BY"/>
        </w:rPr>
        <w:tab/>
        <w:t>При изчисляване на капиталовите изисквания за операционен риск, инвестиционният посредник избира да прилага подхода на базисния индикатор, съгласно Регламент 575/2013 и Регламент (ЕС) 2019/2033.</w:t>
      </w:r>
    </w:p>
    <w:p w14:paraId="17FAA6CC" w14:textId="2603FE4B" w:rsidR="00887D77" w:rsidRPr="00887D77"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(8)</w:t>
      </w:r>
      <w:r w:rsidRPr="00887D77">
        <w:rPr>
          <w:rFonts w:ascii="Calibri" w:hAnsi="Calibri"/>
          <w:color w:val="000000"/>
          <w:kern w:val="2"/>
          <w:sz w:val="22"/>
          <w:szCs w:val="22"/>
          <w:lang w:val="be-BY"/>
        </w:rPr>
        <w:tab/>
      </w:r>
      <w:r>
        <w:rPr>
          <w:rFonts w:ascii="Calibri" w:hAnsi="Calibri"/>
          <w:color w:val="000000"/>
          <w:kern w:val="2"/>
          <w:sz w:val="22"/>
          <w:szCs w:val="22"/>
          <w:lang w:val="be-BY"/>
        </w:rPr>
        <w:t>Отдел</w:t>
      </w:r>
      <w:r w:rsidRPr="00887D77">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887D77">
        <w:rPr>
          <w:rFonts w:ascii="Calibri" w:hAnsi="Calibri"/>
          <w:color w:val="000000"/>
          <w:kern w:val="2"/>
          <w:sz w:val="22"/>
          <w:szCs w:val="22"/>
          <w:lang w:val="be-BY"/>
        </w:rPr>
        <w:t>четоводство“ незабавно</w:t>
      </w:r>
      <w:r>
        <w:rPr>
          <w:rFonts w:ascii="Calibri" w:hAnsi="Calibri"/>
          <w:color w:val="000000"/>
          <w:kern w:val="2"/>
          <w:sz w:val="22"/>
          <w:szCs w:val="22"/>
          <w:lang w:val="be-BY"/>
        </w:rPr>
        <w:t xml:space="preserve"> </w:t>
      </w:r>
      <w:r w:rsidRPr="00887D77">
        <w:rPr>
          <w:rFonts w:ascii="Calibri" w:hAnsi="Calibri"/>
          <w:color w:val="000000"/>
          <w:kern w:val="2"/>
          <w:sz w:val="22"/>
          <w:szCs w:val="22"/>
          <w:lang w:val="be-BY"/>
        </w:rPr>
        <w:t xml:space="preserve">информира </w:t>
      </w:r>
      <w:r>
        <w:rPr>
          <w:rFonts w:ascii="Calibri" w:hAnsi="Calibri"/>
          <w:color w:val="000000"/>
          <w:kern w:val="2"/>
          <w:sz w:val="22"/>
          <w:szCs w:val="22"/>
          <w:lang w:val="be-BY"/>
        </w:rPr>
        <w:t>Вътрешен контрол</w:t>
      </w:r>
      <w:r w:rsidRPr="00887D77">
        <w:rPr>
          <w:rFonts w:ascii="Calibri" w:hAnsi="Calibri"/>
          <w:color w:val="000000"/>
          <w:kern w:val="2"/>
          <w:sz w:val="22"/>
          <w:szCs w:val="22"/>
          <w:lang w:val="be-BY"/>
        </w:rPr>
        <w:t>, в случай, че излишъкът на заделения вътрешен капитал достигне 10 процента от изискваните съгласно Регламент 575/2013 и Регламент (ЕС) 2019/2033 съотношения на капиталова адекватност.</w:t>
      </w:r>
    </w:p>
    <w:p w14:paraId="07A98D58" w14:textId="0A820CA4" w:rsidR="006C0C50" w:rsidRDefault="00887D77" w:rsidP="00887D77">
      <w:pPr>
        <w:pStyle w:val="BodyText"/>
        <w:jc w:val="both"/>
        <w:rPr>
          <w:rFonts w:ascii="Calibri" w:hAnsi="Calibri"/>
          <w:color w:val="000000"/>
          <w:kern w:val="2"/>
          <w:sz w:val="22"/>
          <w:szCs w:val="22"/>
          <w:lang w:val="be-BY"/>
        </w:rPr>
      </w:pPr>
      <w:r w:rsidRPr="00887D77">
        <w:rPr>
          <w:rFonts w:ascii="Calibri" w:hAnsi="Calibri"/>
          <w:color w:val="000000"/>
          <w:kern w:val="2"/>
          <w:sz w:val="22"/>
          <w:szCs w:val="22"/>
          <w:lang w:val="be-BY"/>
        </w:rPr>
        <w:t>(10)</w:t>
      </w:r>
      <w:r w:rsidRPr="00887D77">
        <w:rPr>
          <w:rFonts w:ascii="Calibri" w:hAnsi="Calibri"/>
          <w:color w:val="000000"/>
          <w:kern w:val="2"/>
          <w:sz w:val="22"/>
          <w:szCs w:val="22"/>
          <w:lang w:val="be-BY"/>
        </w:rPr>
        <w:tab/>
      </w:r>
      <w:r>
        <w:rPr>
          <w:rFonts w:ascii="Calibri" w:hAnsi="Calibri"/>
          <w:color w:val="000000"/>
          <w:kern w:val="2"/>
          <w:sz w:val="22"/>
          <w:szCs w:val="22"/>
          <w:lang w:val="be-BY"/>
        </w:rPr>
        <w:t>Отдел</w:t>
      </w:r>
      <w:r w:rsidRPr="00887D77">
        <w:rPr>
          <w:rFonts w:ascii="Calibri" w:hAnsi="Calibri"/>
          <w:color w:val="000000"/>
          <w:kern w:val="2"/>
          <w:sz w:val="22"/>
          <w:szCs w:val="22"/>
          <w:lang w:val="be-BY"/>
        </w:rPr>
        <w:t xml:space="preserve"> „</w:t>
      </w:r>
      <w:r>
        <w:rPr>
          <w:rFonts w:ascii="Calibri" w:hAnsi="Calibri"/>
          <w:color w:val="000000"/>
          <w:kern w:val="2"/>
          <w:sz w:val="22"/>
          <w:szCs w:val="22"/>
          <w:lang w:val="be-BY"/>
        </w:rPr>
        <w:t>С</w:t>
      </w:r>
      <w:r w:rsidRPr="00887D77">
        <w:rPr>
          <w:rFonts w:ascii="Calibri" w:hAnsi="Calibri"/>
          <w:color w:val="000000"/>
          <w:kern w:val="2"/>
          <w:sz w:val="22"/>
          <w:szCs w:val="22"/>
          <w:lang w:val="be-BY"/>
        </w:rPr>
        <w:t xml:space="preserve">четоводство“, </w:t>
      </w:r>
      <w:r>
        <w:rPr>
          <w:rFonts w:ascii="Calibri" w:hAnsi="Calibri"/>
          <w:color w:val="000000"/>
          <w:kern w:val="2"/>
          <w:sz w:val="22"/>
          <w:szCs w:val="22"/>
          <w:lang w:val="be-BY"/>
        </w:rPr>
        <w:t>Вътрешен контрол</w:t>
      </w:r>
      <w:r w:rsidRPr="00887D77">
        <w:rPr>
          <w:rFonts w:ascii="Calibri" w:hAnsi="Calibri"/>
          <w:color w:val="000000"/>
          <w:kern w:val="2"/>
          <w:sz w:val="22"/>
          <w:szCs w:val="22"/>
          <w:lang w:val="be-BY"/>
        </w:rPr>
        <w:t xml:space="preserve"> подлагат на обсъждане възможни сценарии с търговския и инвестиционния портфейл на дружеството при достигане на гранични стойности на необходимия вътрешен капитал.</w:t>
      </w:r>
    </w:p>
    <w:p w14:paraId="2D426C2D" w14:textId="77777777" w:rsidR="006C0C50" w:rsidRDefault="006C0C50" w:rsidP="003042F9">
      <w:pPr>
        <w:pStyle w:val="BodyText"/>
        <w:jc w:val="both"/>
        <w:rPr>
          <w:rFonts w:ascii="Calibri" w:hAnsi="Calibri"/>
          <w:color w:val="000000"/>
          <w:kern w:val="2"/>
          <w:sz w:val="22"/>
          <w:szCs w:val="22"/>
          <w:lang w:val="be-BY"/>
        </w:rPr>
      </w:pPr>
    </w:p>
    <w:p w14:paraId="3796D331" w14:textId="77777777" w:rsidR="00887D77" w:rsidRDefault="00887D77" w:rsidP="003042F9">
      <w:pPr>
        <w:pStyle w:val="BodyText"/>
        <w:jc w:val="both"/>
        <w:rPr>
          <w:rFonts w:ascii="Calibri" w:hAnsi="Calibri"/>
          <w:color w:val="000000"/>
          <w:kern w:val="2"/>
          <w:sz w:val="22"/>
          <w:szCs w:val="22"/>
          <w:lang w:val="be-BY"/>
        </w:rPr>
      </w:pPr>
    </w:p>
    <w:p w14:paraId="5B6CEED6" w14:textId="1418684F" w:rsidR="00887D77" w:rsidRPr="00FD3526" w:rsidRDefault="00887D77" w:rsidP="003042F9">
      <w:pPr>
        <w:pStyle w:val="BodyText"/>
        <w:jc w:val="both"/>
        <w:rPr>
          <w:rFonts w:ascii="Calibri" w:hAnsi="Calibri"/>
          <w:color w:val="000000"/>
          <w:kern w:val="2"/>
          <w:sz w:val="22"/>
          <w:szCs w:val="22"/>
          <w:lang w:val="be-BY"/>
        </w:rPr>
      </w:pPr>
      <w:r>
        <w:rPr>
          <w:rFonts w:cs="Calibri"/>
          <w:b/>
          <w:bCs/>
          <w14:shadow w14:blurRad="50800" w14:dist="38100" w14:dir="2700000" w14:sx="100000" w14:sy="100000" w14:kx="0" w14:ky="0" w14:algn="tl">
            <w14:srgbClr w14:val="000000">
              <w14:alpha w14:val="60000"/>
            </w14:srgbClr>
          </w14:shadow>
        </w:rPr>
        <w:t>Натоящата полотика следва да се тълкува и прилага съвместно с Правилата за вътрешна организация и вътрешен контрол в „БЛАКАНСКА КОНСУЛТАНТСКА КОМПАНИЯ  ИП“ ЕАД</w:t>
      </w:r>
    </w:p>
    <w:sectPr w:rsidR="00887D77" w:rsidRPr="00FD35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94950" w14:textId="77777777" w:rsidR="00CC14CF" w:rsidRDefault="00CC14CF">
      <w:r>
        <w:separator/>
      </w:r>
    </w:p>
  </w:endnote>
  <w:endnote w:type="continuationSeparator" w:id="0">
    <w:p w14:paraId="643CEE8D" w14:textId="77777777" w:rsidR="00CC14CF" w:rsidRDefault="00CC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0FFD4" w14:textId="4737579E" w:rsidR="000230D8" w:rsidRDefault="00AD61AD">
    <w:pPr>
      <w:pStyle w:val="BodyText"/>
      <w:spacing w:line="14" w:lineRule="auto"/>
      <w:rPr>
        <w:sz w:val="16"/>
      </w:rPr>
    </w:pPr>
    <w:r>
      <w:rPr>
        <w:noProof/>
        <w:sz w:val="22"/>
      </w:rPr>
      <mc:AlternateContent>
        <mc:Choice Requires="wps">
          <w:drawing>
            <wp:anchor distT="0" distB="0" distL="114300" distR="114300" simplePos="0" relativeHeight="251659264" behindDoc="1" locked="0" layoutInCell="1" allowOverlap="1" wp14:anchorId="709D95D4" wp14:editId="6C48FDA3">
              <wp:simplePos x="0" y="0"/>
              <wp:positionH relativeFrom="page">
                <wp:posOffset>6504940</wp:posOffset>
              </wp:positionH>
              <wp:positionV relativeFrom="page">
                <wp:posOffset>9953625</wp:posOffset>
              </wp:positionV>
              <wp:extent cx="182245" cy="149860"/>
              <wp:effectExtent l="0" t="0" r="0" b="2540"/>
              <wp:wrapNone/>
              <wp:docPr id="5792839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CA0B" w14:textId="77777777" w:rsidR="000230D8" w:rsidRDefault="00000000">
                          <w:pPr>
                            <w:spacing w:before="21"/>
                            <w:ind w:left="40"/>
                            <w:rPr>
                              <w:rFonts w:ascii="Verdana"/>
                              <w:sz w:val="16"/>
                            </w:rPr>
                          </w:pPr>
                          <w:r>
                            <w:fldChar w:fldCharType="begin"/>
                          </w:r>
                          <w:r>
                            <w:rPr>
                              <w:rFonts w:ascii="Verdana"/>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D95D4" id="_x0000_t202" coordsize="21600,21600" o:spt="202" path="m,l,21600r21600,l21600,xe">
              <v:stroke joinstyle="miter"/>
              <v:path gradientshapeok="t" o:connecttype="rect"/>
            </v:shapetype>
            <v:shape id="Text Box 1" o:spid="_x0000_s1026" type="#_x0000_t202" style="position:absolute;margin-left:512.2pt;margin-top:783.75pt;width:14.35pt;height:1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" filled="f" stroked="f">
              <v:textbox inset="0,0,0,0">
                <w:txbxContent>
                  <w:p w14:paraId="6889CA0B" w14:textId="77777777" w:rsidR="000230D8" w:rsidRDefault="00000000">
                    <w:pPr>
                      <w:spacing w:before="21"/>
                      <w:ind w:left="40"/>
                      <w:rPr>
                        <w:rFonts w:ascii="Verdana"/>
                        <w:sz w:val="16"/>
                      </w:rPr>
                    </w:pPr>
                    <w:r>
                      <w:fldChar w:fldCharType="begin"/>
                    </w:r>
                    <w:r>
                      <w:rPr>
                        <w:rFonts w:ascii="Verdana"/>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90CE1" w14:textId="77777777" w:rsidR="00CC14CF" w:rsidRDefault="00CC14CF">
      <w:r>
        <w:separator/>
      </w:r>
    </w:p>
  </w:footnote>
  <w:footnote w:type="continuationSeparator" w:id="0">
    <w:p w14:paraId="30337CCC" w14:textId="77777777" w:rsidR="00CC14CF" w:rsidRDefault="00CC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5123A"/>
    <w:multiLevelType w:val="hybridMultilevel"/>
    <w:tmpl w:val="FA0EA688"/>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7377F8"/>
    <w:multiLevelType w:val="hybridMultilevel"/>
    <w:tmpl w:val="58122042"/>
    <w:lvl w:ilvl="0" w:tplc="CB3096E6">
      <w:start w:val="1"/>
      <w:numFmt w:val="bullet"/>
      <w:lvlText w:val="•"/>
      <w:lvlJc w:val="left"/>
      <w:pPr>
        <w:ind w:left="1004" w:hanging="360"/>
      </w:pPr>
      <w:rPr>
        <w:rFonts w:ascii="Times New Roman" w:hAnsi="Times New Roman" w:cs="Times New Roman" w:hint="default"/>
        <w:color w:val="76923C"/>
        <w:sz w:val="22"/>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6547F3B"/>
    <w:multiLevelType w:val="hybridMultilevel"/>
    <w:tmpl w:val="9FD643C2"/>
    <w:lvl w:ilvl="0" w:tplc="A6DE0358">
      <w:start w:val="1"/>
      <w:numFmt w:val="bullet"/>
      <w:lvlText w:val=""/>
      <w:lvlJc w:val="left"/>
      <w:pPr>
        <w:ind w:left="833" w:hanging="360"/>
      </w:pPr>
      <w:rPr>
        <w:rFonts w:ascii="Wingdings" w:hAnsi="Wingdings" w:hint="default"/>
        <w:b/>
        <w:i w:val="0"/>
        <w:color w:val="548DD4"/>
        <w:sz w:val="20"/>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3" w15:restartNumberingAfterBreak="0">
    <w:nsid w:val="0A5765E7"/>
    <w:multiLevelType w:val="hybridMultilevel"/>
    <w:tmpl w:val="46E08550"/>
    <w:lvl w:ilvl="0" w:tplc="8EC6C69E">
      <w:start w:val="1"/>
      <w:numFmt w:val="bullet"/>
      <w:lvlText w:val=""/>
      <w:lvlJc w:val="left"/>
      <w:pPr>
        <w:tabs>
          <w:tab w:val="num" w:pos="0"/>
        </w:tabs>
        <w:ind w:left="0" w:firstLine="0"/>
      </w:pPr>
      <w:rPr>
        <w:rFonts w:ascii="Wingdings 2" w:hAnsi="Wingdings 2" w:hint="default"/>
        <w:b/>
        <w:i w:val="0"/>
        <w:color w:val="548DD4"/>
        <w:sz w:val="28"/>
        <w:szCs w:val="24"/>
      </w:rPr>
    </w:lvl>
    <w:lvl w:ilvl="1" w:tplc="671AD95A">
      <w:start w:val="1"/>
      <w:numFmt w:val="bullet"/>
      <w:lvlText w:val=""/>
      <w:lvlJc w:val="left"/>
      <w:pPr>
        <w:tabs>
          <w:tab w:val="num" w:pos="-3533"/>
        </w:tabs>
        <w:ind w:left="-3893" w:firstLine="0"/>
      </w:pPr>
      <w:rPr>
        <w:rFonts w:ascii="Wingdings" w:hAnsi="Wingdings" w:cs="Times New Roman" w:hint="default"/>
        <w:color w:val="FF0000"/>
        <w:sz w:val="16"/>
      </w:rPr>
    </w:lvl>
    <w:lvl w:ilvl="2" w:tplc="14349216" w:tentative="1">
      <w:start w:val="1"/>
      <w:numFmt w:val="bullet"/>
      <w:lvlText w:val=""/>
      <w:lvlJc w:val="left"/>
      <w:pPr>
        <w:tabs>
          <w:tab w:val="num" w:pos="-2813"/>
        </w:tabs>
        <w:ind w:left="-2813" w:hanging="360"/>
      </w:pPr>
      <w:rPr>
        <w:rFonts w:ascii="Wingdings" w:hAnsi="Wingdings" w:hint="default"/>
      </w:rPr>
    </w:lvl>
    <w:lvl w:ilvl="3" w:tplc="C8C6E068" w:tentative="1">
      <w:start w:val="1"/>
      <w:numFmt w:val="bullet"/>
      <w:lvlText w:val=""/>
      <w:lvlJc w:val="left"/>
      <w:pPr>
        <w:tabs>
          <w:tab w:val="num" w:pos="-2093"/>
        </w:tabs>
        <w:ind w:left="-2093" w:hanging="360"/>
      </w:pPr>
      <w:rPr>
        <w:rFonts w:ascii="Symbol" w:hAnsi="Symbol" w:hint="default"/>
      </w:rPr>
    </w:lvl>
    <w:lvl w:ilvl="4" w:tplc="9E1E7632" w:tentative="1">
      <w:start w:val="1"/>
      <w:numFmt w:val="bullet"/>
      <w:lvlText w:val="o"/>
      <w:lvlJc w:val="left"/>
      <w:pPr>
        <w:tabs>
          <w:tab w:val="num" w:pos="-1373"/>
        </w:tabs>
        <w:ind w:left="-1373" w:hanging="360"/>
      </w:pPr>
      <w:rPr>
        <w:rFonts w:ascii="Courier New" w:hAnsi="Courier New" w:hint="default"/>
      </w:rPr>
    </w:lvl>
    <w:lvl w:ilvl="5" w:tplc="00306EF6" w:tentative="1">
      <w:start w:val="1"/>
      <w:numFmt w:val="bullet"/>
      <w:lvlText w:val=""/>
      <w:lvlJc w:val="left"/>
      <w:pPr>
        <w:tabs>
          <w:tab w:val="num" w:pos="-653"/>
        </w:tabs>
        <w:ind w:left="-653" w:hanging="360"/>
      </w:pPr>
      <w:rPr>
        <w:rFonts w:ascii="Wingdings" w:hAnsi="Wingdings" w:hint="default"/>
      </w:rPr>
    </w:lvl>
    <w:lvl w:ilvl="6" w:tplc="482063DC" w:tentative="1">
      <w:start w:val="1"/>
      <w:numFmt w:val="bullet"/>
      <w:lvlText w:val=""/>
      <w:lvlJc w:val="left"/>
      <w:pPr>
        <w:tabs>
          <w:tab w:val="num" w:pos="67"/>
        </w:tabs>
        <w:ind w:left="67" w:hanging="360"/>
      </w:pPr>
      <w:rPr>
        <w:rFonts w:ascii="Symbol" w:hAnsi="Symbol" w:hint="default"/>
      </w:rPr>
    </w:lvl>
    <w:lvl w:ilvl="7" w:tplc="5EA2C460" w:tentative="1">
      <w:start w:val="1"/>
      <w:numFmt w:val="bullet"/>
      <w:lvlText w:val="o"/>
      <w:lvlJc w:val="left"/>
      <w:pPr>
        <w:tabs>
          <w:tab w:val="num" w:pos="787"/>
        </w:tabs>
        <w:ind w:left="787" w:hanging="360"/>
      </w:pPr>
      <w:rPr>
        <w:rFonts w:ascii="Courier New" w:hAnsi="Courier New" w:hint="default"/>
      </w:rPr>
    </w:lvl>
    <w:lvl w:ilvl="8" w:tplc="2C9A7832" w:tentative="1">
      <w:start w:val="1"/>
      <w:numFmt w:val="bullet"/>
      <w:lvlText w:val=""/>
      <w:lvlJc w:val="left"/>
      <w:pPr>
        <w:tabs>
          <w:tab w:val="num" w:pos="1507"/>
        </w:tabs>
        <w:ind w:left="1507" w:hanging="360"/>
      </w:pPr>
      <w:rPr>
        <w:rFonts w:ascii="Wingdings" w:hAnsi="Wingdings" w:hint="default"/>
      </w:rPr>
    </w:lvl>
  </w:abstractNum>
  <w:abstractNum w:abstractNumId="4" w15:restartNumberingAfterBreak="0">
    <w:nsid w:val="0E8422D0"/>
    <w:multiLevelType w:val="hybridMultilevel"/>
    <w:tmpl w:val="5AC23118"/>
    <w:lvl w:ilvl="0" w:tplc="0F663C02">
      <w:start w:val="1"/>
      <w:numFmt w:val="bullet"/>
      <w:lvlText w:val=""/>
      <w:lvlJc w:val="left"/>
      <w:pPr>
        <w:ind w:left="720" w:hanging="360"/>
      </w:pPr>
      <w:rPr>
        <w:rFonts w:ascii="Symbol" w:hAnsi="Symbol" w:hint="default"/>
        <w:color w:val="548DD4"/>
        <w:sz w:val="18"/>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62332B"/>
    <w:multiLevelType w:val="hybridMultilevel"/>
    <w:tmpl w:val="C818B67E"/>
    <w:lvl w:ilvl="0" w:tplc="730AACAE">
      <w:numFmt w:val="bullet"/>
      <w:lvlText w:val=""/>
      <w:lvlJc w:val="left"/>
      <w:pPr>
        <w:tabs>
          <w:tab w:val="num" w:pos="720"/>
        </w:tabs>
        <w:ind w:left="720" w:hanging="360"/>
      </w:pPr>
      <w:rPr>
        <w:rFonts w:ascii="Symbol" w:hAnsi="Symbol" w:cs="Arial" w:hint="default"/>
        <w:color w:val="632423"/>
        <w:sz w:val="16"/>
      </w:rPr>
    </w:lvl>
    <w:lvl w:ilvl="1" w:tplc="32F06DC4" w:tentative="1">
      <w:start w:val="1"/>
      <w:numFmt w:val="bullet"/>
      <w:lvlText w:val="o"/>
      <w:lvlJc w:val="left"/>
      <w:pPr>
        <w:tabs>
          <w:tab w:val="num" w:pos="1440"/>
        </w:tabs>
        <w:ind w:left="1440" w:hanging="360"/>
      </w:pPr>
      <w:rPr>
        <w:rFonts w:ascii="Courier New" w:hAnsi="Courier New" w:hint="default"/>
      </w:rPr>
    </w:lvl>
    <w:lvl w:ilvl="2" w:tplc="841228F8" w:tentative="1">
      <w:start w:val="1"/>
      <w:numFmt w:val="bullet"/>
      <w:lvlText w:val=""/>
      <w:lvlJc w:val="left"/>
      <w:pPr>
        <w:tabs>
          <w:tab w:val="num" w:pos="2160"/>
        </w:tabs>
        <w:ind w:left="2160" w:hanging="360"/>
      </w:pPr>
      <w:rPr>
        <w:rFonts w:ascii="Wingdings" w:hAnsi="Wingdings" w:hint="default"/>
      </w:rPr>
    </w:lvl>
    <w:lvl w:ilvl="3" w:tplc="11F2C97C" w:tentative="1">
      <w:start w:val="1"/>
      <w:numFmt w:val="bullet"/>
      <w:lvlText w:val=""/>
      <w:lvlJc w:val="left"/>
      <w:pPr>
        <w:tabs>
          <w:tab w:val="num" w:pos="2880"/>
        </w:tabs>
        <w:ind w:left="2880" w:hanging="360"/>
      </w:pPr>
      <w:rPr>
        <w:rFonts w:ascii="Symbol" w:hAnsi="Symbol" w:hint="default"/>
      </w:rPr>
    </w:lvl>
    <w:lvl w:ilvl="4" w:tplc="42B8E504" w:tentative="1">
      <w:start w:val="1"/>
      <w:numFmt w:val="bullet"/>
      <w:lvlText w:val="o"/>
      <w:lvlJc w:val="left"/>
      <w:pPr>
        <w:tabs>
          <w:tab w:val="num" w:pos="3600"/>
        </w:tabs>
        <w:ind w:left="3600" w:hanging="360"/>
      </w:pPr>
      <w:rPr>
        <w:rFonts w:ascii="Courier New" w:hAnsi="Courier New" w:hint="default"/>
      </w:rPr>
    </w:lvl>
    <w:lvl w:ilvl="5" w:tplc="6074A956" w:tentative="1">
      <w:start w:val="1"/>
      <w:numFmt w:val="bullet"/>
      <w:lvlText w:val=""/>
      <w:lvlJc w:val="left"/>
      <w:pPr>
        <w:tabs>
          <w:tab w:val="num" w:pos="4320"/>
        </w:tabs>
        <w:ind w:left="4320" w:hanging="360"/>
      </w:pPr>
      <w:rPr>
        <w:rFonts w:ascii="Wingdings" w:hAnsi="Wingdings" w:hint="default"/>
      </w:rPr>
    </w:lvl>
    <w:lvl w:ilvl="6" w:tplc="BB041270" w:tentative="1">
      <w:start w:val="1"/>
      <w:numFmt w:val="bullet"/>
      <w:lvlText w:val=""/>
      <w:lvlJc w:val="left"/>
      <w:pPr>
        <w:tabs>
          <w:tab w:val="num" w:pos="5040"/>
        </w:tabs>
        <w:ind w:left="5040" w:hanging="360"/>
      </w:pPr>
      <w:rPr>
        <w:rFonts w:ascii="Symbol" w:hAnsi="Symbol" w:hint="default"/>
      </w:rPr>
    </w:lvl>
    <w:lvl w:ilvl="7" w:tplc="9D984A10" w:tentative="1">
      <w:start w:val="1"/>
      <w:numFmt w:val="bullet"/>
      <w:lvlText w:val="o"/>
      <w:lvlJc w:val="left"/>
      <w:pPr>
        <w:tabs>
          <w:tab w:val="num" w:pos="5760"/>
        </w:tabs>
        <w:ind w:left="5760" w:hanging="360"/>
      </w:pPr>
      <w:rPr>
        <w:rFonts w:ascii="Courier New" w:hAnsi="Courier New" w:hint="default"/>
      </w:rPr>
    </w:lvl>
    <w:lvl w:ilvl="8" w:tplc="D53E31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90D96"/>
    <w:multiLevelType w:val="hybridMultilevel"/>
    <w:tmpl w:val="88CA1426"/>
    <w:lvl w:ilvl="0" w:tplc="A6DE0358">
      <w:start w:val="1"/>
      <w:numFmt w:val="bullet"/>
      <w:lvlText w:val=""/>
      <w:lvlJc w:val="left"/>
      <w:pPr>
        <w:ind w:left="720" w:hanging="360"/>
      </w:pPr>
      <w:rPr>
        <w:rFonts w:ascii="Wingdings" w:hAnsi="Wingdings" w:hint="default"/>
        <w:b/>
        <w:i w:val="0"/>
        <w:color w:val="548DD4"/>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7B820F4"/>
    <w:multiLevelType w:val="hybridMultilevel"/>
    <w:tmpl w:val="CD90B5A0"/>
    <w:lvl w:ilvl="0" w:tplc="16BEE98C">
      <w:numFmt w:val="bullet"/>
      <w:lvlText w:val="•"/>
      <w:lvlJc w:val="left"/>
      <w:pPr>
        <w:ind w:left="437" w:hanging="360"/>
      </w:pPr>
      <w:rPr>
        <w:rFonts w:ascii="Calibri" w:hAnsi="Calibri" w:hint="default"/>
        <w:color w:val="548DD4"/>
        <w:sz w:val="20"/>
        <w:szCs w:val="36"/>
      </w:rPr>
    </w:lvl>
    <w:lvl w:ilvl="1" w:tplc="04020003" w:tentative="1">
      <w:start w:val="1"/>
      <w:numFmt w:val="bullet"/>
      <w:lvlText w:val="o"/>
      <w:lvlJc w:val="left"/>
      <w:pPr>
        <w:ind w:left="1157" w:hanging="360"/>
      </w:pPr>
      <w:rPr>
        <w:rFonts w:ascii="Courier New" w:hAnsi="Courier New" w:cs="Courier New" w:hint="default"/>
      </w:rPr>
    </w:lvl>
    <w:lvl w:ilvl="2" w:tplc="04020005" w:tentative="1">
      <w:start w:val="1"/>
      <w:numFmt w:val="bullet"/>
      <w:lvlText w:val=""/>
      <w:lvlJc w:val="left"/>
      <w:pPr>
        <w:ind w:left="1877" w:hanging="360"/>
      </w:pPr>
      <w:rPr>
        <w:rFonts w:ascii="Wingdings" w:hAnsi="Wingdings" w:hint="default"/>
      </w:rPr>
    </w:lvl>
    <w:lvl w:ilvl="3" w:tplc="04020001" w:tentative="1">
      <w:start w:val="1"/>
      <w:numFmt w:val="bullet"/>
      <w:lvlText w:val=""/>
      <w:lvlJc w:val="left"/>
      <w:pPr>
        <w:ind w:left="2597" w:hanging="360"/>
      </w:pPr>
      <w:rPr>
        <w:rFonts w:ascii="Symbol" w:hAnsi="Symbol" w:hint="default"/>
      </w:rPr>
    </w:lvl>
    <w:lvl w:ilvl="4" w:tplc="04020003" w:tentative="1">
      <w:start w:val="1"/>
      <w:numFmt w:val="bullet"/>
      <w:lvlText w:val="o"/>
      <w:lvlJc w:val="left"/>
      <w:pPr>
        <w:ind w:left="3317" w:hanging="360"/>
      </w:pPr>
      <w:rPr>
        <w:rFonts w:ascii="Courier New" w:hAnsi="Courier New" w:cs="Courier New" w:hint="default"/>
      </w:rPr>
    </w:lvl>
    <w:lvl w:ilvl="5" w:tplc="04020005" w:tentative="1">
      <w:start w:val="1"/>
      <w:numFmt w:val="bullet"/>
      <w:lvlText w:val=""/>
      <w:lvlJc w:val="left"/>
      <w:pPr>
        <w:ind w:left="4037" w:hanging="360"/>
      </w:pPr>
      <w:rPr>
        <w:rFonts w:ascii="Wingdings" w:hAnsi="Wingdings" w:hint="default"/>
      </w:rPr>
    </w:lvl>
    <w:lvl w:ilvl="6" w:tplc="04020001" w:tentative="1">
      <w:start w:val="1"/>
      <w:numFmt w:val="bullet"/>
      <w:lvlText w:val=""/>
      <w:lvlJc w:val="left"/>
      <w:pPr>
        <w:ind w:left="4757" w:hanging="360"/>
      </w:pPr>
      <w:rPr>
        <w:rFonts w:ascii="Symbol" w:hAnsi="Symbol" w:hint="default"/>
      </w:rPr>
    </w:lvl>
    <w:lvl w:ilvl="7" w:tplc="04020003" w:tentative="1">
      <w:start w:val="1"/>
      <w:numFmt w:val="bullet"/>
      <w:lvlText w:val="o"/>
      <w:lvlJc w:val="left"/>
      <w:pPr>
        <w:ind w:left="5477" w:hanging="360"/>
      </w:pPr>
      <w:rPr>
        <w:rFonts w:ascii="Courier New" w:hAnsi="Courier New" w:cs="Courier New" w:hint="default"/>
      </w:rPr>
    </w:lvl>
    <w:lvl w:ilvl="8" w:tplc="04020005" w:tentative="1">
      <w:start w:val="1"/>
      <w:numFmt w:val="bullet"/>
      <w:lvlText w:val=""/>
      <w:lvlJc w:val="left"/>
      <w:pPr>
        <w:ind w:left="6197" w:hanging="360"/>
      </w:pPr>
      <w:rPr>
        <w:rFonts w:ascii="Wingdings" w:hAnsi="Wingdings" w:hint="default"/>
      </w:rPr>
    </w:lvl>
  </w:abstractNum>
  <w:abstractNum w:abstractNumId="8" w15:restartNumberingAfterBreak="0">
    <w:nsid w:val="1B7C1D91"/>
    <w:multiLevelType w:val="hybridMultilevel"/>
    <w:tmpl w:val="DAFEF99E"/>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437C91"/>
    <w:multiLevelType w:val="hybridMultilevel"/>
    <w:tmpl w:val="281ACD8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404BDB"/>
    <w:multiLevelType w:val="hybridMultilevel"/>
    <w:tmpl w:val="5D48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E53"/>
    <w:multiLevelType w:val="hybridMultilevel"/>
    <w:tmpl w:val="435E0206"/>
    <w:lvl w:ilvl="0" w:tplc="6DAA74EE">
      <w:start w:val="1"/>
      <w:numFmt w:val="bullet"/>
      <w:lvlText w:val=""/>
      <w:lvlJc w:val="left"/>
      <w:pPr>
        <w:ind w:left="720" w:hanging="360"/>
      </w:pPr>
      <w:rPr>
        <w:rFonts w:ascii="Wingdings" w:hAnsi="Wingdings" w:hint="default"/>
        <w:b/>
        <w:i w:val="0"/>
        <w:color w:val="548DD4"/>
        <w:sz w:val="16"/>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4F33750"/>
    <w:multiLevelType w:val="hybridMultilevel"/>
    <w:tmpl w:val="AB488380"/>
    <w:lvl w:ilvl="0" w:tplc="6C46273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2C455B"/>
    <w:multiLevelType w:val="hybridMultilevel"/>
    <w:tmpl w:val="829AC222"/>
    <w:lvl w:ilvl="0" w:tplc="6DAA74EE">
      <w:start w:val="1"/>
      <w:numFmt w:val="bullet"/>
      <w:lvlText w:val=""/>
      <w:lvlJc w:val="left"/>
      <w:pPr>
        <w:tabs>
          <w:tab w:val="num" w:pos="3690"/>
        </w:tabs>
        <w:ind w:left="3330" w:firstLine="0"/>
      </w:pPr>
      <w:rPr>
        <w:rFonts w:ascii="Wingdings" w:hAnsi="Wingdings" w:hint="default"/>
        <w:b/>
        <w:i w:val="0"/>
        <w:color w:val="548DD4"/>
        <w:sz w:val="16"/>
        <w:szCs w:val="16"/>
        <w14:shadow w14:blurRad="0" w14:dist="0" w14:dir="0" w14:sx="0" w14:sy="0" w14:kx="0" w14:ky="0" w14:algn="none">
          <w14:srgbClr w14:val="000000"/>
        </w14:shadow>
        <w14:textOutline w14:w="0" w14:cap="rnd" w14:cmpd="sng" w14:algn="ctr">
          <w14:noFill/>
          <w14:prstDash w14:val="solid"/>
          <w14:bevel/>
        </w14:textOutline>
      </w:rPr>
    </w:lvl>
    <w:lvl w:ilvl="1" w:tplc="99B4FA3C" w:tentative="1">
      <w:start w:val="1"/>
      <w:numFmt w:val="bullet"/>
      <w:lvlText w:val="o"/>
      <w:lvlJc w:val="left"/>
      <w:pPr>
        <w:tabs>
          <w:tab w:val="num" w:pos="4320"/>
        </w:tabs>
        <w:ind w:left="4320" w:hanging="360"/>
      </w:pPr>
      <w:rPr>
        <w:rFonts w:ascii="Courier New" w:hAnsi="Courier New" w:hint="default"/>
      </w:rPr>
    </w:lvl>
    <w:lvl w:ilvl="2" w:tplc="710E924E" w:tentative="1">
      <w:start w:val="1"/>
      <w:numFmt w:val="bullet"/>
      <w:lvlText w:val=""/>
      <w:lvlJc w:val="left"/>
      <w:pPr>
        <w:tabs>
          <w:tab w:val="num" w:pos="5040"/>
        </w:tabs>
        <w:ind w:left="5040" w:hanging="360"/>
      </w:pPr>
      <w:rPr>
        <w:rFonts w:ascii="Wingdings" w:hAnsi="Wingdings" w:hint="default"/>
      </w:rPr>
    </w:lvl>
    <w:lvl w:ilvl="3" w:tplc="5B60CD62" w:tentative="1">
      <w:start w:val="1"/>
      <w:numFmt w:val="bullet"/>
      <w:lvlText w:val=""/>
      <w:lvlJc w:val="left"/>
      <w:pPr>
        <w:tabs>
          <w:tab w:val="num" w:pos="5760"/>
        </w:tabs>
        <w:ind w:left="5760" w:hanging="360"/>
      </w:pPr>
      <w:rPr>
        <w:rFonts w:ascii="Symbol" w:hAnsi="Symbol" w:hint="default"/>
      </w:rPr>
    </w:lvl>
    <w:lvl w:ilvl="4" w:tplc="BC7A38B8" w:tentative="1">
      <w:start w:val="1"/>
      <w:numFmt w:val="bullet"/>
      <w:lvlText w:val="o"/>
      <w:lvlJc w:val="left"/>
      <w:pPr>
        <w:tabs>
          <w:tab w:val="num" w:pos="6480"/>
        </w:tabs>
        <w:ind w:left="6480" w:hanging="360"/>
      </w:pPr>
      <w:rPr>
        <w:rFonts w:ascii="Courier New" w:hAnsi="Courier New" w:hint="default"/>
      </w:rPr>
    </w:lvl>
    <w:lvl w:ilvl="5" w:tplc="51A6B672" w:tentative="1">
      <w:start w:val="1"/>
      <w:numFmt w:val="bullet"/>
      <w:lvlText w:val=""/>
      <w:lvlJc w:val="left"/>
      <w:pPr>
        <w:tabs>
          <w:tab w:val="num" w:pos="7200"/>
        </w:tabs>
        <w:ind w:left="7200" w:hanging="360"/>
      </w:pPr>
      <w:rPr>
        <w:rFonts w:ascii="Wingdings" w:hAnsi="Wingdings" w:hint="default"/>
      </w:rPr>
    </w:lvl>
    <w:lvl w:ilvl="6" w:tplc="B510CEE6" w:tentative="1">
      <w:start w:val="1"/>
      <w:numFmt w:val="bullet"/>
      <w:lvlText w:val=""/>
      <w:lvlJc w:val="left"/>
      <w:pPr>
        <w:tabs>
          <w:tab w:val="num" w:pos="7920"/>
        </w:tabs>
        <w:ind w:left="7920" w:hanging="360"/>
      </w:pPr>
      <w:rPr>
        <w:rFonts w:ascii="Symbol" w:hAnsi="Symbol" w:hint="default"/>
      </w:rPr>
    </w:lvl>
    <w:lvl w:ilvl="7" w:tplc="0DAA8E30" w:tentative="1">
      <w:start w:val="1"/>
      <w:numFmt w:val="bullet"/>
      <w:lvlText w:val="o"/>
      <w:lvlJc w:val="left"/>
      <w:pPr>
        <w:tabs>
          <w:tab w:val="num" w:pos="8640"/>
        </w:tabs>
        <w:ind w:left="8640" w:hanging="360"/>
      </w:pPr>
      <w:rPr>
        <w:rFonts w:ascii="Courier New" w:hAnsi="Courier New" w:hint="default"/>
      </w:rPr>
    </w:lvl>
    <w:lvl w:ilvl="8" w:tplc="45B6E804"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FD96462"/>
    <w:multiLevelType w:val="hybridMultilevel"/>
    <w:tmpl w:val="7D3CDF06"/>
    <w:lvl w:ilvl="0" w:tplc="8D08CDB2">
      <w:start w:val="1"/>
      <w:numFmt w:val="decimal"/>
      <w:lvlText w:val="%1."/>
      <w:lvlJc w:val="left"/>
      <w:pPr>
        <w:ind w:left="1573" w:hanging="348"/>
      </w:pPr>
      <w:rPr>
        <w:rFonts w:ascii="Calibri" w:eastAsia="Calibri" w:hAnsi="Calibri" w:cs="Calibri" w:hint="default"/>
        <w:w w:val="100"/>
        <w:sz w:val="22"/>
        <w:szCs w:val="22"/>
      </w:rPr>
    </w:lvl>
    <w:lvl w:ilvl="1" w:tplc="DFEC269A">
      <w:numFmt w:val="bullet"/>
      <w:lvlText w:val="•"/>
      <w:lvlJc w:val="left"/>
      <w:pPr>
        <w:ind w:left="2506" w:hanging="348"/>
      </w:pPr>
      <w:rPr>
        <w:rFonts w:hint="default"/>
      </w:rPr>
    </w:lvl>
    <w:lvl w:ilvl="2" w:tplc="69E60CA8">
      <w:numFmt w:val="bullet"/>
      <w:lvlText w:val="•"/>
      <w:lvlJc w:val="left"/>
      <w:pPr>
        <w:ind w:left="3433" w:hanging="348"/>
      </w:pPr>
      <w:rPr>
        <w:rFonts w:hint="default"/>
      </w:rPr>
    </w:lvl>
    <w:lvl w:ilvl="3" w:tplc="D68AFC24">
      <w:numFmt w:val="bullet"/>
      <w:lvlText w:val="•"/>
      <w:lvlJc w:val="left"/>
      <w:pPr>
        <w:ind w:left="4359" w:hanging="348"/>
      </w:pPr>
      <w:rPr>
        <w:rFonts w:hint="default"/>
      </w:rPr>
    </w:lvl>
    <w:lvl w:ilvl="4" w:tplc="9AE4968A">
      <w:numFmt w:val="bullet"/>
      <w:lvlText w:val="•"/>
      <w:lvlJc w:val="left"/>
      <w:pPr>
        <w:ind w:left="5286" w:hanging="348"/>
      </w:pPr>
      <w:rPr>
        <w:rFonts w:hint="default"/>
      </w:rPr>
    </w:lvl>
    <w:lvl w:ilvl="5" w:tplc="A566D6D4">
      <w:numFmt w:val="bullet"/>
      <w:lvlText w:val="•"/>
      <w:lvlJc w:val="left"/>
      <w:pPr>
        <w:ind w:left="6212" w:hanging="348"/>
      </w:pPr>
      <w:rPr>
        <w:rFonts w:hint="default"/>
      </w:rPr>
    </w:lvl>
    <w:lvl w:ilvl="6" w:tplc="2FC041C4">
      <w:numFmt w:val="bullet"/>
      <w:lvlText w:val="•"/>
      <w:lvlJc w:val="left"/>
      <w:pPr>
        <w:ind w:left="7139" w:hanging="348"/>
      </w:pPr>
      <w:rPr>
        <w:rFonts w:hint="default"/>
      </w:rPr>
    </w:lvl>
    <w:lvl w:ilvl="7" w:tplc="609CB10C">
      <w:numFmt w:val="bullet"/>
      <w:lvlText w:val="•"/>
      <w:lvlJc w:val="left"/>
      <w:pPr>
        <w:ind w:left="8065" w:hanging="348"/>
      </w:pPr>
      <w:rPr>
        <w:rFonts w:hint="default"/>
      </w:rPr>
    </w:lvl>
    <w:lvl w:ilvl="8" w:tplc="BEE60C68">
      <w:numFmt w:val="bullet"/>
      <w:lvlText w:val="•"/>
      <w:lvlJc w:val="left"/>
      <w:pPr>
        <w:ind w:left="8992" w:hanging="348"/>
      </w:pPr>
      <w:rPr>
        <w:rFonts w:hint="default"/>
      </w:rPr>
    </w:lvl>
  </w:abstractNum>
  <w:abstractNum w:abstractNumId="15" w15:restartNumberingAfterBreak="0">
    <w:nsid w:val="36CE34CD"/>
    <w:multiLevelType w:val="hybridMultilevel"/>
    <w:tmpl w:val="9E6E58F6"/>
    <w:lvl w:ilvl="0" w:tplc="2E840AC6">
      <w:start w:val="2010"/>
      <w:numFmt w:val="bullet"/>
      <w:lvlText w:val="-"/>
      <w:lvlJc w:val="left"/>
      <w:pPr>
        <w:ind w:left="585" w:hanging="360"/>
      </w:pPr>
      <w:rPr>
        <w:rFonts w:ascii="Calibri" w:eastAsia="Times New Roman" w:hAnsi="Calibri" w:cs="Times New Roman" w:hint="default"/>
      </w:rPr>
    </w:lvl>
    <w:lvl w:ilvl="1" w:tplc="04020003" w:tentative="1">
      <w:start w:val="1"/>
      <w:numFmt w:val="bullet"/>
      <w:lvlText w:val="o"/>
      <w:lvlJc w:val="left"/>
      <w:pPr>
        <w:ind w:left="1305" w:hanging="360"/>
      </w:pPr>
      <w:rPr>
        <w:rFonts w:ascii="Courier New" w:hAnsi="Courier New" w:cs="Courier New" w:hint="default"/>
      </w:rPr>
    </w:lvl>
    <w:lvl w:ilvl="2" w:tplc="04020005" w:tentative="1">
      <w:start w:val="1"/>
      <w:numFmt w:val="bullet"/>
      <w:lvlText w:val=""/>
      <w:lvlJc w:val="left"/>
      <w:pPr>
        <w:ind w:left="2025" w:hanging="360"/>
      </w:pPr>
      <w:rPr>
        <w:rFonts w:ascii="Wingdings" w:hAnsi="Wingdings" w:hint="default"/>
      </w:rPr>
    </w:lvl>
    <w:lvl w:ilvl="3" w:tplc="04020001" w:tentative="1">
      <w:start w:val="1"/>
      <w:numFmt w:val="bullet"/>
      <w:lvlText w:val=""/>
      <w:lvlJc w:val="left"/>
      <w:pPr>
        <w:ind w:left="2745" w:hanging="360"/>
      </w:pPr>
      <w:rPr>
        <w:rFonts w:ascii="Symbol" w:hAnsi="Symbol" w:hint="default"/>
      </w:rPr>
    </w:lvl>
    <w:lvl w:ilvl="4" w:tplc="04020003" w:tentative="1">
      <w:start w:val="1"/>
      <w:numFmt w:val="bullet"/>
      <w:lvlText w:val="o"/>
      <w:lvlJc w:val="left"/>
      <w:pPr>
        <w:ind w:left="3465" w:hanging="360"/>
      </w:pPr>
      <w:rPr>
        <w:rFonts w:ascii="Courier New" w:hAnsi="Courier New" w:cs="Courier New" w:hint="default"/>
      </w:rPr>
    </w:lvl>
    <w:lvl w:ilvl="5" w:tplc="04020005" w:tentative="1">
      <w:start w:val="1"/>
      <w:numFmt w:val="bullet"/>
      <w:lvlText w:val=""/>
      <w:lvlJc w:val="left"/>
      <w:pPr>
        <w:ind w:left="4185" w:hanging="360"/>
      </w:pPr>
      <w:rPr>
        <w:rFonts w:ascii="Wingdings" w:hAnsi="Wingdings" w:hint="default"/>
      </w:rPr>
    </w:lvl>
    <w:lvl w:ilvl="6" w:tplc="04020001" w:tentative="1">
      <w:start w:val="1"/>
      <w:numFmt w:val="bullet"/>
      <w:lvlText w:val=""/>
      <w:lvlJc w:val="left"/>
      <w:pPr>
        <w:ind w:left="4905" w:hanging="360"/>
      </w:pPr>
      <w:rPr>
        <w:rFonts w:ascii="Symbol" w:hAnsi="Symbol" w:hint="default"/>
      </w:rPr>
    </w:lvl>
    <w:lvl w:ilvl="7" w:tplc="04020003" w:tentative="1">
      <w:start w:val="1"/>
      <w:numFmt w:val="bullet"/>
      <w:lvlText w:val="o"/>
      <w:lvlJc w:val="left"/>
      <w:pPr>
        <w:ind w:left="5625" w:hanging="360"/>
      </w:pPr>
      <w:rPr>
        <w:rFonts w:ascii="Courier New" w:hAnsi="Courier New" w:cs="Courier New" w:hint="default"/>
      </w:rPr>
    </w:lvl>
    <w:lvl w:ilvl="8" w:tplc="04020005" w:tentative="1">
      <w:start w:val="1"/>
      <w:numFmt w:val="bullet"/>
      <w:lvlText w:val=""/>
      <w:lvlJc w:val="left"/>
      <w:pPr>
        <w:ind w:left="6345" w:hanging="360"/>
      </w:pPr>
      <w:rPr>
        <w:rFonts w:ascii="Wingdings" w:hAnsi="Wingdings" w:hint="default"/>
      </w:rPr>
    </w:lvl>
  </w:abstractNum>
  <w:abstractNum w:abstractNumId="16" w15:restartNumberingAfterBreak="0">
    <w:nsid w:val="37660419"/>
    <w:multiLevelType w:val="hybridMultilevel"/>
    <w:tmpl w:val="ADF645C6"/>
    <w:lvl w:ilvl="0" w:tplc="5886A882">
      <w:start w:val="1"/>
      <w:numFmt w:val="bullet"/>
      <w:lvlText w:val=""/>
      <w:lvlJc w:val="left"/>
      <w:pPr>
        <w:tabs>
          <w:tab w:val="num" w:pos="3690"/>
        </w:tabs>
        <w:ind w:left="3690" w:hanging="360"/>
      </w:pPr>
      <w:rPr>
        <w:rFonts w:ascii="Symbol" w:hAnsi="Symbol" w:cs="Times New Roman"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391B7F9E"/>
    <w:multiLevelType w:val="hybridMultilevel"/>
    <w:tmpl w:val="313E6620"/>
    <w:lvl w:ilvl="0" w:tplc="70F4E1EA">
      <w:numFmt w:val="bullet"/>
      <w:lvlText w:val="-"/>
      <w:lvlJc w:val="left"/>
      <w:pPr>
        <w:ind w:left="720" w:hanging="360"/>
      </w:pPr>
      <w:rPr>
        <w:rFonts w:ascii="Calibri" w:hAnsi="Calibri" w:hint="default"/>
        <w:color w:val="4F6228"/>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B2F3DBD"/>
    <w:multiLevelType w:val="hybridMultilevel"/>
    <w:tmpl w:val="9EF47A44"/>
    <w:lvl w:ilvl="0" w:tplc="E9121914">
      <w:start w:val="1"/>
      <w:numFmt w:val="bullet"/>
      <w:lvlText w:val=""/>
      <w:lvlJc w:val="left"/>
      <w:pPr>
        <w:ind w:left="900" w:hanging="360"/>
      </w:pPr>
      <w:rPr>
        <w:rFonts w:ascii="Symbol" w:hAnsi="Symbol" w:hint="default"/>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9" w15:restartNumberingAfterBreak="0">
    <w:nsid w:val="3E42262C"/>
    <w:multiLevelType w:val="hybridMultilevel"/>
    <w:tmpl w:val="6518B4C0"/>
    <w:lvl w:ilvl="0" w:tplc="A74E0572">
      <w:start w:val="2"/>
      <w:numFmt w:val="decimal"/>
      <w:lvlText w:val="(%1)"/>
      <w:lvlJc w:val="left"/>
      <w:pPr>
        <w:ind w:left="855" w:hanging="327"/>
      </w:pPr>
      <w:rPr>
        <w:rFonts w:ascii="Calibri" w:eastAsia="Calibri" w:hAnsi="Calibri" w:cs="Calibri" w:hint="default"/>
        <w:w w:val="100"/>
        <w:sz w:val="22"/>
        <w:szCs w:val="22"/>
      </w:rPr>
    </w:lvl>
    <w:lvl w:ilvl="1" w:tplc="33885192">
      <w:start w:val="1"/>
      <w:numFmt w:val="decimal"/>
      <w:lvlText w:val="%2."/>
      <w:lvlJc w:val="left"/>
      <w:pPr>
        <w:ind w:left="1575" w:hanging="348"/>
      </w:pPr>
      <w:rPr>
        <w:rFonts w:ascii="Calibri" w:eastAsia="Calibri" w:hAnsi="Calibri" w:cs="Calibri" w:hint="default"/>
        <w:w w:val="100"/>
        <w:sz w:val="22"/>
        <w:szCs w:val="22"/>
      </w:rPr>
    </w:lvl>
    <w:lvl w:ilvl="2" w:tplc="B874C072">
      <w:numFmt w:val="bullet"/>
      <w:lvlText w:val="•"/>
      <w:lvlJc w:val="left"/>
      <w:pPr>
        <w:ind w:left="2609" w:hanging="348"/>
      </w:pPr>
      <w:rPr>
        <w:rFonts w:hint="default"/>
      </w:rPr>
    </w:lvl>
    <w:lvl w:ilvl="3" w:tplc="5204BCC2">
      <w:numFmt w:val="bullet"/>
      <w:lvlText w:val="•"/>
      <w:lvlJc w:val="left"/>
      <w:pPr>
        <w:ind w:left="3639" w:hanging="348"/>
      </w:pPr>
      <w:rPr>
        <w:rFonts w:hint="default"/>
      </w:rPr>
    </w:lvl>
    <w:lvl w:ilvl="4" w:tplc="0C92B2B4">
      <w:numFmt w:val="bullet"/>
      <w:lvlText w:val="•"/>
      <w:lvlJc w:val="left"/>
      <w:pPr>
        <w:ind w:left="4668" w:hanging="348"/>
      </w:pPr>
      <w:rPr>
        <w:rFonts w:hint="default"/>
      </w:rPr>
    </w:lvl>
    <w:lvl w:ilvl="5" w:tplc="4C4082EE">
      <w:numFmt w:val="bullet"/>
      <w:lvlText w:val="•"/>
      <w:lvlJc w:val="left"/>
      <w:pPr>
        <w:ind w:left="5698" w:hanging="348"/>
      </w:pPr>
      <w:rPr>
        <w:rFonts w:hint="default"/>
      </w:rPr>
    </w:lvl>
    <w:lvl w:ilvl="6" w:tplc="423EA5B4">
      <w:numFmt w:val="bullet"/>
      <w:lvlText w:val="•"/>
      <w:lvlJc w:val="left"/>
      <w:pPr>
        <w:ind w:left="6727" w:hanging="348"/>
      </w:pPr>
      <w:rPr>
        <w:rFonts w:hint="default"/>
      </w:rPr>
    </w:lvl>
    <w:lvl w:ilvl="7" w:tplc="5550507E">
      <w:numFmt w:val="bullet"/>
      <w:lvlText w:val="•"/>
      <w:lvlJc w:val="left"/>
      <w:pPr>
        <w:ind w:left="7757" w:hanging="348"/>
      </w:pPr>
      <w:rPr>
        <w:rFonts w:hint="default"/>
      </w:rPr>
    </w:lvl>
    <w:lvl w:ilvl="8" w:tplc="6EF079DA">
      <w:numFmt w:val="bullet"/>
      <w:lvlText w:val="•"/>
      <w:lvlJc w:val="left"/>
      <w:pPr>
        <w:ind w:left="8786" w:hanging="348"/>
      </w:pPr>
      <w:rPr>
        <w:rFonts w:hint="default"/>
      </w:rPr>
    </w:lvl>
  </w:abstractNum>
  <w:abstractNum w:abstractNumId="20" w15:restartNumberingAfterBreak="0">
    <w:nsid w:val="40733E80"/>
    <w:multiLevelType w:val="hybridMultilevel"/>
    <w:tmpl w:val="3F062CBC"/>
    <w:lvl w:ilvl="0" w:tplc="3D0A1522">
      <w:start w:val="1"/>
      <w:numFmt w:val="bullet"/>
      <w:lvlText w:val=""/>
      <w:lvlJc w:val="left"/>
      <w:pPr>
        <w:ind w:left="900" w:hanging="360"/>
      </w:pPr>
      <w:rPr>
        <w:rFonts w:ascii="Symbol" w:hAnsi="Symbol" w:hint="default"/>
        <w:b/>
        <w:i w:val="0"/>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1" w15:restartNumberingAfterBreak="0">
    <w:nsid w:val="411B5D34"/>
    <w:multiLevelType w:val="multilevel"/>
    <w:tmpl w:val="B8D8D4F8"/>
    <w:lvl w:ilvl="0">
      <w:start w:val="1"/>
      <w:numFmt w:val="decimal"/>
      <w:suff w:val="space"/>
      <w:lvlText w:val="%1."/>
      <w:lvlJc w:val="left"/>
      <w:pPr>
        <w:ind w:left="0" w:firstLine="57"/>
      </w:pPr>
      <w:rPr>
        <w:rFonts w:ascii="Calibri" w:eastAsia="Calibri" w:hAnsi="Calibri" w:cs="Calibri" w:hint="default"/>
        <w:w w:val="100"/>
        <w:sz w:val="22"/>
        <w:szCs w:val="22"/>
      </w:rPr>
    </w:lvl>
    <w:lvl w:ilvl="1">
      <w:start w:val="1"/>
      <w:numFmt w:val="decimal"/>
      <w:suff w:val="space"/>
      <w:lvlText w:val="%1.%2."/>
      <w:lvlJc w:val="left"/>
      <w:pPr>
        <w:ind w:left="0" w:firstLine="57"/>
      </w:pPr>
      <w:rPr>
        <w:rFonts w:ascii="Calibri" w:eastAsia="Calibri" w:hAnsi="Calibri" w:cs="Calibri" w:hint="default"/>
        <w:spacing w:val="-1"/>
        <w:w w:val="100"/>
        <w:sz w:val="22"/>
        <w:szCs w:val="22"/>
      </w:rPr>
    </w:lvl>
    <w:lvl w:ilvl="2">
      <w:numFmt w:val="bullet"/>
      <w:lvlText w:val="•"/>
      <w:lvlJc w:val="left"/>
      <w:pPr>
        <w:ind w:left="0" w:firstLine="57"/>
      </w:pPr>
      <w:rPr>
        <w:rFonts w:hint="default"/>
      </w:rPr>
    </w:lvl>
    <w:lvl w:ilvl="3">
      <w:numFmt w:val="bullet"/>
      <w:lvlText w:val="•"/>
      <w:lvlJc w:val="left"/>
      <w:pPr>
        <w:ind w:left="0" w:firstLine="57"/>
      </w:pPr>
      <w:rPr>
        <w:rFonts w:hint="default"/>
      </w:rPr>
    </w:lvl>
    <w:lvl w:ilvl="4">
      <w:numFmt w:val="bullet"/>
      <w:lvlText w:val="•"/>
      <w:lvlJc w:val="left"/>
      <w:pPr>
        <w:ind w:left="0" w:firstLine="57"/>
      </w:pPr>
      <w:rPr>
        <w:rFonts w:hint="default"/>
      </w:rPr>
    </w:lvl>
    <w:lvl w:ilvl="5">
      <w:numFmt w:val="bullet"/>
      <w:lvlText w:val="•"/>
      <w:lvlJc w:val="left"/>
      <w:pPr>
        <w:ind w:left="0" w:firstLine="57"/>
      </w:pPr>
      <w:rPr>
        <w:rFonts w:hint="default"/>
      </w:rPr>
    </w:lvl>
    <w:lvl w:ilvl="6">
      <w:numFmt w:val="bullet"/>
      <w:lvlText w:val="•"/>
      <w:lvlJc w:val="left"/>
      <w:pPr>
        <w:ind w:left="0" w:firstLine="57"/>
      </w:pPr>
      <w:rPr>
        <w:rFonts w:hint="default"/>
      </w:rPr>
    </w:lvl>
    <w:lvl w:ilvl="7">
      <w:numFmt w:val="bullet"/>
      <w:lvlText w:val="•"/>
      <w:lvlJc w:val="left"/>
      <w:pPr>
        <w:ind w:left="0" w:firstLine="57"/>
      </w:pPr>
      <w:rPr>
        <w:rFonts w:hint="default"/>
      </w:rPr>
    </w:lvl>
    <w:lvl w:ilvl="8">
      <w:numFmt w:val="bullet"/>
      <w:lvlText w:val="•"/>
      <w:lvlJc w:val="left"/>
      <w:pPr>
        <w:ind w:left="0" w:firstLine="57"/>
      </w:pPr>
      <w:rPr>
        <w:rFonts w:hint="default"/>
      </w:rPr>
    </w:lvl>
  </w:abstractNum>
  <w:abstractNum w:abstractNumId="22" w15:restartNumberingAfterBreak="0">
    <w:nsid w:val="45244A18"/>
    <w:multiLevelType w:val="hybridMultilevel"/>
    <w:tmpl w:val="69BCC2C6"/>
    <w:lvl w:ilvl="0" w:tplc="86808666">
      <w:start w:val="1"/>
      <w:numFmt w:val="bullet"/>
      <w:lvlText w:val=""/>
      <w:lvlJc w:val="left"/>
      <w:pPr>
        <w:ind w:left="720" w:hanging="360"/>
      </w:pPr>
      <w:rPr>
        <w:rFonts w:ascii="Wingdings 3" w:hAnsi="Wingdings 3" w:hint="default"/>
        <w:color w:val="548DD4"/>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E096E3E"/>
    <w:multiLevelType w:val="hybridMultilevel"/>
    <w:tmpl w:val="AE2EB114"/>
    <w:lvl w:ilvl="0" w:tplc="FFFFFFFF">
      <w:numFmt w:val="bullet"/>
      <w:lvlText w:val=""/>
      <w:lvlJc w:val="left"/>
      <w:pPr>
        <w:tabs>
          <w:tab w:val="num" w:pos="720"/>
        </w:tabs>
        <w:ind w:left="720" w:hanging="360"/>
      </w:pPr>
      <w:rPr>
        <w:rFonts w:ascii="Symbol" w:hAnsi="Symbol" w:cs="Arial" w:hint="default"/>
        <w:color w:val="632423"/>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A23A3"/>
    <w:multiLevelType w:val="hybridMultilevel"/>
    <w:tmpl w:val="5A8C47E4"/>
    <w:lvl w:ilvl="0" w:tplc="0D4A15D8">
      <w:start w:val="2"/>
      <w:numFmt w:val="decimal"/>
      <w:lvlText w:val="(%1)"/>
      <w:lvlJc w:val="left"/>
      <w:pPr>
        <w:ind w:left="856" w:hanging="327"/>
      </w:pPr>
      <w:rPr>
        <w:rFonts w:ascii="Calibri" w:eastAsia="Calibri" w:hAnsi="Calibri" w:cs="Calibri" w:hint="default"/>
        <w:w w:val="100"/>
        <w:sz w:val="22"/>
        <w:szCs w:val="22"/>
      </w:rPr>
    </w:lvl>
    <w:lvl w:ilvl="1" w:tplc="458EB3B8">
      <w:start w:val="1"/>
      <w:numFmt w:val="decimal"/>
      <w:lvlText w:val="%2."/>
      <w:lvlJc w:val="left"/>
      <w:pPr>
        <w:ind w:left="1575" w:hanging="348"/>
      </w:pPr>
      <w:rPr>
        <w:rFonts w:ascii="Calibri" w:eastAsia="Calibri" w:hAnsi="Calibri" w:cs="Calibri" w:hint="default"/>
        <w:w w:val="100"/>
        <w:sz w:val="22"/>
        <w:szCs w:val="22"/>
      </w:rPr>
    </w:lvl>
    <w:lvl w:ilvl="2" w:tplc="1E12EC5E">
      <w:numFmt w:val="bullet"/>
      <w:lvlText w:val="•"/>
      <w:lvlJc w:val="left"/>
      <w:pPr>
        <w:ind w:left="2609" w:hanging="348"/>
      </w:pPr>
      <w:rPr>
        <w:rFonts w:hint="default"/>
      </w:rPr>
    </w:lvl>
    <w:lvl w:ilvl="3" w:tplc="7108DD12">
      <w:numFmt w:val="bullet"/>
      <w:lvlText w:val="•"/>
      <w:lvlJc w:val="left"/>
      <w:pPr>
        <w:ind w:left="3639" w:hanging="348"/>
      </w:pPr>
      <w:rPr>
        <w:rFonts w:hint="default"/>
      </w:rPr>
    </w:lvl>
    <w:lvl w:ilvl="4" w:tplc="9ACC0090">
      <w:numFmt w:val="bullet"/>
      <w:lvlText w:val="•"/>
      <w:lvlJc w:val="left"/>
      <w:pPr>
        <w:ind w:left="4668" w:hanging="348"/>
      </w:pPr>
      <w:rPr>
        <w:rFonts w:hint="default"/>
      </w:rPr>
    </w:lvl>
    <w:lvl w:ilvl="5" w:tplc="04A2017A">
      <w:numFmt w:val="bullet"/>
      <w:lvlText w:val="•"/>
      <w:lvlJc w:val="left"/>
      <w:pPr>
        <w:ind w:left="5698" w:hanging="348"/>
      </w:pPr>
      <w:rPr>
        <w:rFonts w:hint="default"/>
      </w:rPr>
    </w:lvl>
    <w:lvl w:ilvl="6" w:tplc="EE860E34">
      <w:numFmt w:val="bullet"/>
      <w:lvlText w:val="•"/>
      <w:lvlJc w:val="left"/>
      <w:pPr>
        <w:ind w:left="6727" w:hanging="348"/>
      </w:pPr>
      <w:rPr>
        <w:rFonts w:hint="default"/>
      </w:rPr>
    </w:lvl>
    <w:lvl w:ilvl="7" w:tplc="294826E6">
      <w:numFmt w:val="bullet"/>
      <w:lvlText w:val="•"/>
      <w:lvlJc w:val="left"/>
      <w:pPr>
        <w:ind w:left="7757" w:hanging="348"/>
      </w:pPr>
      <w:rPr>
        <w:rFonts w:hint="default"/>
      </w:rPr>
    </w:lvl>
    <w:lvl w:ilvl="8" w:tplc="BB6A66CE">
      <w:numFmt w:val="bullet"/>
      <w:lvlText w:val="•"/>
      <w:lvlJc w:val="left"/>
      <w:pPr>
        <w:ind w:left="8786" w:hanging="348"/>
      </w:pPr>
      <w:rPr>
        <w:rFonts w:hint="default"/>
      </w:rPr>
    </w:lvl>
  </w:abstractNum>
  <w:abstractNum w:abstractNumId="25" w15:restartNumberingAfterBreak="0">
    <w:nsid w:val="5215341D"/>
    <w:multiLevelType w:val="hybridMultilevel"/>
    <w:tmpl w:val="41E41FA4"/>
    <w:lvl w:ilvl="0" w:tplc="69042E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5342611E"/>
    <w:multiLevelType w:val="hybridMultilevel"/>
    <w:tmpl w:val="D7824782"/>
    <w:lvl w:ilvl="0" w:tplc="16BEE98C">
      <w:numFmt w:val="bullet"/>
      <w:lvlText w:val="•"/>
      <w:lvlJc w:val="left"/>
      <w:pPr>
        <w:ind w:left="720" w:hanging="360"/>
      </w:pPr>
      <w:rPr>
        <w:rFonts w:ascii="Calibri" w:hAnsi="Calibri" w:hint="default"/>
        <w:color w:val="548DD4"/>
        <w:sz w:val="20"/>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917F91"/>
    <w:multiLevelType w:val="hybridMultilevel"/>
    <w:tmpl w:val="6F2EABF8"/>
    <w:lvl w:ilvl="0" w:tplc="EA66023A">
      <w:start w:val="1"/>
      <w:numFmt w:val="decimal"/>
      <w:lvlText w:val="%1."/>
      <w:lvlJc w:val="left"/>
      <w:pPr>
        <w:ind w:left="1564" w:hanging="348"/>
      </w:pPr>
      <w:rPr>
        <w:rFonts w:ascii="Calibri" w:eastAsia="Calibri" w:hAnsi="Calibri" w:cs="Calibri" w:hint="default"/>
        <w:w w:val="100"/>
        <w:sz w:val="22"/>
        <w:szCs w:val="22"/>
      </w:rPr>
    </w:lvl>
    <w:lvl w:ilvl="1" w:tplc="D8E8E0E6">
      <w:numFmt w:val="bullet"/>
      <w:lvlText w:val="•"/>
      <w:lvlJc w:val="left"/>
      <w:pPr>
        <w:ind w:left="2488" w:hanging="348"/>
      </w:pPr>
      <w:rPr>
        <w:rFonts w:hint="default"/>
      </w:rPr>
    </w:lvl>
    <w:lvl w:ilvl="2" w:tplc="8A6604A8">
      <w:numFmt w:val="bullet"/>
      <w:lvlText w:val="•"/>
      <w:lvlJc w:val="left"/>
      <w:pPr>
        <w:ind w:left="3417" w:hanging="348"/>
      </w:pPr>
      <w:rPr>
        <w:rFonts w:hint="default"/>
      </w:rPr>
    </w:lvl>
    <w:lvl w:ilvl="3" w:tplc="0994F1DE">
      <w:numFmt w:val="bullet"/>
      <w:lvlText w:val="•"/>
      <w:lvlJc w:val="left"/>
      <w:pPr>
        <w:ind w:left="4345" w:hanging="348"/>
      </w:pPr>
      <w:rPr>
        <w:rFonts w:hint="default"/>
      </w:rPr>
    </w:lvl>
    <w:lvl w:ilvl="4" w:tplc="82068FF4">
      <w:numFmt w:val="bullet"/>
      <w:lvlText w:val="•"/>
      <w:lvlJc w:val="left"/>
      <w:pPr>
        <w:ind w:left="5274" w:hanging="348"/>
      </w:pPr>
      <w:rPr>
        <w:rFonts w:hint="default"/>
      </w:rPr>
    </w:lvl>
    <w:lvl w:ilvl="5" w:tplc="123E1058">
      <w:numFmt w:val="bullet"/>
      <w:lvlText w:val="•"/>
      <w:lvlJc w:val="left"/>
      <w:pPr>
        <w:ind w:left="6202" w:hanging="348"/>
      </w:pPr>
      <w:rPr>
        <w:rFonts w:hint="default"/>
      </w:rPr>
    </w:lvl>
    <w:lvl w:ilvl="6" w:tplc="723AB746">
      <w:numFmt w:val="bullet"/>
      <w:lvlText w:val="•"/>
      <w:lvlJc w:val="left"/>
      <w:pPr>
        <w:ind w:left="7131" w:hanging="348"/>
      </w:pPr>
      <w:rPr>
        <w:rFonts w:hint="default"/>
      </w:rPr>
    </w:lvl>
    <w:lvl w:ilvl="7" w:tplc="9080E4A2">
      <w:numFmt w:val="bullet"/>
      <w:lvlText w:val="•"/>
      <w:lvlJc w:val="left"/>
      <w:pPr>
        <w:ind w:left="8059" w:hanging="348"/>
      </w:pPr>
      <w:rPr>
        <w:rFonts w:hint="default"/>
      </w:rPr>
    </w:lvl>
    <w:lvl w:ilvl="8" w:tplc="BE58F0FE">
      <w:numFmt w:val="bullet"/>
      <w:lvlText w:val="•"/>
      <w:lvlJc w:val="left"/>
      <w:pPr>
        <w:ind w:left="8988" w:hanging="348"/>
      </w:pPr>
      <w:rPr>
        <w:rFonts w:hint="default"/>
      </w:rPr>
    </w:lvl>
  </w:abstractNum>
  <w:abstractNum w:abstractNumId="28" w15:restartNumberingAfterBreak="0">
    <w:nsid w:val="5E164531"/>
    <w:multiLevelType w:val="hybridMultilevel"/>
    <w:tmpl w:val="78BA031A"/>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655E234E"/>
    <w:multiLevelType w:val="hybridMultilevel"/>
    <w:tmpl w:val="A08A6FBC"/>
    <w:lvl w:ilvl="0" w:tplc="0402000B">
      <w:start w:val="1"/>
      <w:numFmt w:val="bullet"/>
      <w:lvlText w:val=""/>
      <w:lvlJc w:val="left"/>
      <w:pPr>
        <w:tabs>
          <w:tab w:val="num" w:pos="2045"/>
        </w:tabs>
        <w:ind w:left="2045" w:hanging="360"/>
      </w:pPr>
      <w:rPr>
        <w:rFonts w:ascii="Wingdings" w:hAnsi="Wingdings" w:hint="default"/>
        <w:color w:val="632423"/>
        <w:sz w:val="18"/>
      </w:rPr>
    </w:lvl>
    <w:lvl w:ilvl="1" w:tplc="AB125054">
      <w:numFmt w:val="bullet"/>
      <w:lvlText w:val=""/>
      <w:lvlJc w:val="left"/>
      <w:pPr>
        <w:tabs>
          <w:tab w:val="num" w:pos="1440"/>
        </w:tabs>
        <w:ind w:left="1440" w:hanging="360"/>
      </w:pPr>
      <w:rPr>
        <w:rFonts w:ascii="Symbol" w:eastAsia="Times New Roman" w:hAnsi="Symbol" w:cs="Arial" w:hint="default"/>
      </w:rPr>
    </w:lvl>
    <w:lvl w:ilvl="2" w:tplc="FD6A8524" w:tentative="1">
      <w:start w:val="1"/>
      <w:numFmt w:val="bullet"/>
      <w:lvlText w:val=""/>
      <w:lvlJc w:val="left"/>
      <w:pPr>
        <w:tabs>
          <w:tab w:val="num" w:pos="2160"/>
        </w:tabs>
        <w:ind w:left="2160" w:hanging="360"/>
      </w:pPr>
      <w:rPr>
        <w:rFonts w:ascii="Wingdings" w:hAnsi="Wingdings" w:hint="default"/>
      </w:rPr>
    </w:lvl>
    <w:lvl w:ilvl="3" w:tplc="3CC6098C" w:tentative="1">
      <w:start w:val="1"/>
      <w:numFmt w:val="bullet"/>
      <w:lvlText w:val=""/>
      <w:lvlJc w:val="left"/>
      <w:pPr>
        <w:tabs>
          <w:tab w:val="num" w:pos="2880"/>
        </w:tabs>
        <w:ind w:left="2880" w:hanging="360"/>
      </w:pPr>
      <w:rPr>
        <w:rFonts w:ascii="Symbol" w:hAnsi="Symbol" w:hint="default"/>
      </w:rPr>
    </w:lvl>
    <w:lvl w:ilvl="4" w:tplc="BDCCC2BA" w:tentative="1">
      <w:start w:val="1"/>
      <w:numFmt w:val="bullet"/>
      <w:lvlText w:val="o"/>
      <w:lvlJc w:val="left"/>
      <w:pPr>
        <w:tabs>
          <w:tab w:val="num" w:pos="3600"/>
        </w:tabs>
        <w:ind w:left="3600" w:hanging="360"/>
      </w:pPr>
      <w:rPr>
        <w:rFonts w:ascii="Courier New" w:hAnsi="Courier New" w:hint="default"/>
      </w:rPr>
    </w:lvl>
    <w:lvl w:ilvl="5" w:tplc="1616B42E" w:tentative="1">
      <w:start w:val="1"/>
      <w:numFmt w:val="bullet"/>
      <w:lvlText w:val=""/>
      <w:lvlJc w:val="left"/>
      <w:pPr>
        <w:tabs>
          <w:tab w:val="num" w:pos="4320"/>
        </w:tabs>
        <w:ind w:left="4320" w:hanging="360"/>
      </w:pPr>
      <w:rPr>
        <w:rFonts w:ascii="Wingdings" w:hAnsi="Wingdings" w:hint="default"/>
      </w:rPr>
    </w:lvl>
    <w:lvl w:ilvl="6" w:tplc="C70CCC32" w:tentative="1">
      <w:start w:val="1"/>
      <w:numFmt w:val="bullet"/>
      <w:lvlText w:val=""/>
      <w:lvlJc w:val="left"/>
      <w:pPr>
        <w:tabs>
          <w:tab w:val="num" w:pos="5040"/>
        </w:tabs>
        <w:ind w:left="5040" w:hanging="360"/>
      </w:pPr>
      <w:rPr>
        <w:rFonts w:ascii="Symbol" w:hAnsi="Symbol" w:hint="default"/>
      </w:rPr>
    </w:lvl>
    <w:lvl w:ilvl="7" w:tplc="2D06C63A" w:tentative="1">
      <w:start w:val="1"/>
      <w:numFmt w:val="bullet"/>
      <w:lvlText w:val="o"/>
      <w:lvlJc w:val="left"/>
      <w:pPr>
        <w:tabs>
          <w:tab w:val="num" w:pos="5760"/>
        </w:tabs>
        <w:ind w:left="5760" w:hanging="360"/>
      </w:pPr>
      <w:rPr>
        <w:rFonts w:ascii="Courier New" w:hAnsi="Courier New" w:hint="default"/>
      </w:rPr>
    </w:lvl>
    <w:lvl w:ilvl="8" w:tplc="128267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8A2895"/>
    <w:multiLevelType w:val="hybridMultilevel"/>
    <w:tmpl w:val="29EA6674"/>
    <w:lvl w:ilvl="0" w:tplc="C9A40D42">
      <w:start w:val="1"/>
      <w:numFmt w:val="bullet"/>
      <w:lvlText w:val=""/>
      <w:lvlJc w:val="left"/>
      <w:pPr>
        <w:ind w:left="720" w:hanging="360"/>
      </w:pPr>
      <w:rPr>
        <w:rFonts w:ascii="Wingdings 3" w:hAnsi="Wingdings 3" w:hint="default"/>
        <w:color w:val="548DD4"/>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CD74C7"/>
    <w:multiLevelType w:val="hybridMultilevel"/>
    <w:tmpl w:val="B380B0C6"/>
    <w:lvl w:ilvl="0" w:tplc="3288D31C">
      <w:start w:val="2"/>
      <w:numFmt w:val="decimal"/>
      <w:lvlText w:val="(%1)"/>
      <w:lvlJc w:val="left"/>
      <w:pPr>
        <w:ind w:left="1196" w:hanging="341"/>
      </w:pPr>
      <w:rPr>
        <w:rFonts w:ascii="Calibri" w:eastAsia="Calibri" w:hAnsi="Calibri" w:cs="Calibri" w:hint="default"/>
        <w:w w:val="100"/>
        <w:sz w:val="22"/>
        <w:szCs w:val="22"/>
      </w:rPr>
    </w:lvl>
    <w:lvl w:ilvl="1" w:tplc="637CEC6A">
      <w:start w:val="1"/>
      <w:numFmt w:val="decimal"/>
      <w:lvlText w:val="%2."/>
      <w:lvlJc w:val="left"/>
      <w:pPr>
        <w:ind w:left="1563" w:hanging="348"/>
      </w:pPr>
      <w:rPr>
        <w:rFonts w:ascii="Calibri" w:eastAsia="Calibri" w:hAnsi="Calibri" w:cs="Calibri" w:hint="default"/>
        <w:w w:val="100"/>
        <w:sz w:val="22"/>
        <w:szCs w:val="22"/>
      </w:rPr>
    </w:lvl>
    <w:lvl w:ilvl="2" w:tplc="3712315E">
      <w:numFmt w:val="bullet"/>
      <w:lvlText w:val="•"/>
      <w:lvlJc w:val="left"/>
      <w:pPr>
        <w:ind w:left="1580" w:hanging="348"/>
      </w:pPr>
      <w:rPr>
        <w:rFonts w:hint="default"/>
      </w:rPr>
    </w:lvl>
    <w:lvl w:ilvl="3" w:tplc="6786FCB4">
      <w:numFmt w:val="bullet"/>
      <w:lvlText w:val="•"/>
      <w:lvlJc w:val="left"/>
      <w:pPr>
        <w:ind w:left="2738" w:hanging="348"/>
      </w:pPr>
      <w:rPr>
        <w:rFonts w:hint="default"/>
      </w:rPr>
    </w:lvl>
    <w:lvl w:ilvl="4" w:tplc="4CE423CA">
      <w:numFmt w:val="bullet"/>
      <w:lvlText w:val="•"/>
      <w:lvlJc w:val="left"/>
      <w:pPr>
        <w:ind w:left="3896" w:hanging="348"/>
      </w:pPr>
      <w:rPr>
        <w:rFonts w:hint="default"/>
      </w:rPr>
    </w:lvl>
    <w:lvl w:ilvl="5" w:tplc="61A69C5E">
      <w:numFmt w:val="bullet"/>
      <w:lvlText w:val="•"/>
      <w:lvlJc w:val="left"/>
      <w:pPr>
        <w:ind w:left="5054" w:hanging="348"/>
      </w:pPr>
      <w:rPr>
        <w:rFonts w:hint="default"/>
      </w:rPr>
    </w:lvl>
    <w:lvl w:ilvl="6" w:tplc="592085C6">
      <w:numFmt w:val="bullet"/>
      <w:lvlText w:val="•"/>
      <w:lvlJc w:val="left"/>
      <w:pPr>
        <w:ind w:left="6212" w:hanging="348"/>
      </w:pPr>
      <w:rPr>
        <w:rFonts w:hint="default"/>
      </w:rPr>
    </w:lvl>
    <w:lvl w:ilvl="7" w:tplc="8676CFBE">
      <w:numFmt w:val="bullet"/>
      <w:lvlText w:val="•"/>
      <w:lvlJc w:val="left"/>
      <w:pPr>
        <w:ind w:left="7370" w:hanging="348"/>
      </w:pPr>
      <w:rPr>
        <w:rFonts w:hint="default"/>
      </w:rPr>
    </w:lvl>
    <w:lvl w:ilvl="8" w:tplc="2C4A568E">
      <w:numFmt w:val="bullet"/>
      <w:lvlText w:val="•"/>
      <w:lvlJc w:val="left"/>
      <w:pPr>
        <w:ind w:left="8529" w:hanging="348"/>
      </w:pPr>
      <w:rPr>
        <w:rFonts w:hint="default"/>
      </w:rPr>
    </w:lvl>
  </w:abstractNum>
  <w:abstractNum w:abstractNumId="32" w15:restartNumberingAfterBreak="0">
    <w:nsid w:val="76F26A1A"/>
    <w:multiLevelType w:val="hybridMultilevel"/>
    <w:tmpl w:val="020A8B68"/>
    <w:lvl w:ilvl="0" w:tplc="CCB85570">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3" w15:restartNumberingAfterBreak="0">
    <w:nsid w:val="770550F4"/>
    <w:multiLevelType w:val="hybridMultilevel"/>
    <w:tmpl w:val="E580E0D6"/>
    <w:lvl w:ilvl="0" w:tplc="1E3C5D62">
      <w:start w:val="1"/>
      <w:numFmt w:val="bullet"/>
      <w:lvlText w:val=""/>
      <w:lvlJc w:val="left"/>
      <w:pPr>
        <w:ind w:left="720" w:hanging="360"/>
      </w:pPr>
      <w:rPr>
        <w:rFonts w:ascii="Wingdings" w:hAnsi="Wingdings" w:hint="default"/>
        <w:b/>
        <w:i w:val="0"/>
        <w:color w:val="548DD4"/>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D5E4B78"/>
    <w:multiLevelType w:val="hybridMultilevel"/>
    <w:tmpl w:val="788AA4F0"/>
    <w:lvl w:ilvl="0" w:tplc="8EC6C69E">
      <w:start w:val="1"/>
      <w:numFmt w:val="bullet"/>
      <w:lvlText w:val=""/>
      <w:lvlJc w:val="left"/>
      <w:pPr>
        <w:ind w:left="1495" w:hanging="360"/>
      </w:pPr>
      <w:rPr>
        <w:rFonts w:ascii="Wingdings 2" w:hAnsi="Wingdings 2" w:hint="default"/>
        <w:b/>
        <w:i w:val="0"/>
        <w:color w:val="548DD4"/>
        <w:sz w:val="28"/>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807775500">
    <w:abstractNumId w:val="16"/>
  </w:num>
  <w:num w:numId="2" w16cid:durableId="1498808938">
    <w:abstractNumId w:val="22"/>
  </w:num>
  <w:num w:numId="3" w16cid:durableId="66192196">
    <w:abstractNumId w:val="20"/>
  </w:num>
  <w:num w:numId="4" w16cid:durableId="1093697083">
    <w:abstractNumId w:val="18"/>
  </w:num>
  <w:num w:numId="5" w16cid:durableId="1388919217">
    <w:abstractNumId w:val="17"/>
  </w:num>
  <w:num w:numId="6" w16cid:durableId="898705866">
    <w:abstractNumId w:val="33"/>
  </w:num>
  <w:num w:numId="7" w16cid:durableId="2144274901">
    <w:abstractNumId w:val="30"/>
  </w:num>
  <w:num w:numId="8" w16cid:durableId="298999112">
    <w:abstractNumId w:val="3"/>
  </w:num>
  <w:num w:numId="9" w16cid:durableId="764033544">
    <w:abstractNumId w:val="7"/>
  </w:num>
  <w:num w:numId="10" w16cid:durableId="1216313102">
    <w:abstractNumId w:val="11"/>
  </w:num>
  <w:num w:numId="11" w16cid:durableId="873421739">
    <w:abstractNumId w:val="6"/>
  </w:num>
  <w:num w:numId="12" w16cid:durableId="718670300">
    <w:abstractNumId w:val="13"/>
  </w:num>
  <w:num w:numId="13" w16cid:durableId="2110857564">
    <w:abstractNumId w:val="15"/>
  </w:num>
  <w:num w:numId="14" w16cid:durableId="623579387">
    <w:abstractNumId w:val="4"/>
  </w:num>
  <w:num w:numId="15" w16cid:durableId="679234840">
    <w:abstractNumId w:val="26"/>
  </w:num>
  <w:num w:numId="16" w16cid:durableId="568076157">
    <w:abstractNumId w:val="2"/>
  </w:num>
  <w:num w:numId="17" w16cid:durableId="2057003676">
    <w:abstractNumId w:val="1"/>
  </w:num>
  <w:num w:numId="18" w16cid:durableId="1748527470">
    <w:abstractNumId w:val="12"/>
  </w:num>
  <w:num w:numId="19" w16cid:durableId="1324965603">
    <w:abstractNumId w:val="0"/>
  </w:num>
  <w:num w:numId="20" w16cid:durableId="1480269566">
    <w:abstractNumId w:val="8"/>
  </w:num>
  <w:num w:numId="21" w16cid:durableId="1814249064">
    <w:abstractNumId w:val="9"/>
  </w:num>
  <w:num w:numId="22" w16cid:durableId="269703547">
    <w:abstractNumId w:val="25"/>
  </w:num>
  <w:num w:numId="23" w16cid:durableId="45760497">
    <w:abstractNumId w:val="34"/>
  </w:num>
  <w:num w:numId="24" w16cid:durableId="1520781406">
    <w:abstractNumId w:val="23"/>
  </w:num>
  <w:num w:numId="25" w16cid:durableId="1534228180">
    <w:abstractNumId w:val="5"/>
  </w:num>
  <w:num w:numId="26" w16cid:durableId="2107192425">
    <w:abstractNumId w:val="32"/>
  </w:num>
  <w:num w:numId="27" w16cid:durableId="193425657">
    <w:abstractNumId w:val="28"/>
  </w:num>
  <w:num w:numId="28" w16cid:durableId="758334636">
    <w:abstractNumId w:val="29"/>
  </w:num>
  <w:num w:numId="29" w16cid:durableId="1700232902">
    <w:abstractNumId w:val="21"/>
  </w:num>
  <w:num w:numId="30" w16cid:durableId="1429307089">
    <w:abstractNumId w:val="31"/>
  </w:num>
  <w:num w:numId="31" w16cid:durableId="233514068">
    <w:abstractNumId w:val="19"/>
  </w:num>
  <w:num w:numId="32" w16cid:durableId="1932926675">
    <w:abstractNumId w:val="14"/>
  </w:num>
  <w:num w:numId="33" w16cid:durableId="1439637641">
    <w:abstractNumId w:val="24"/>
  </w:num>
  <w:num w:numId="34" w16cid:durableId="1027676090">
    <w:abstractNumId w:val="27"/>
  </w:num>
  <w:num w:numId="35" w16cid:durableId="1601445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4E"/>
    <w:rsid w:val="00006D8D"/>
    <w:rsid w:val="00020953"/>
    <w:rsid w:val="000230D8"/>
    <w:rsid w:val="00024AD6"/>
    <w:rsid w:val="00066421"/>
    <w:rsid w:val="00072B3E"/>
    <w:rsid w:val="00085AA4"/>
    <w:rsid w:val="0008710E"/>
    <w:rsid w:val="000C4FE8"/>
    <w:rsid w:val="000E0153"/>
    <w:rsid w:val="0012641F"/>
    <w:rsid w:val="00141081"/>
    <w:rsid w:val="00142747"/>
    <w:rsid w:val="001509BE"/>
    <w:rsid w:val="00164170"/>
    <w:rsid w:val="001651A1"/>
    <w:rsid w:val="001A373D"/>
    <w:rsid w:val="001C09EC"/>
    <w:rsid w:val="001D221A"/>
    <w:rsid w:val="002030E8"/>
    <w:rsid w:val="002159C8"/>
    <w:rsid w:val="00217195"/>
    <w:rsid w:val="00233119"/>
    <w:rsid w:val="0023680B"/>
    <w:rsid w:val="00252905"/>
    <w:rsid w:val="00263755"/>
    <w:rsid w:val="00277F21"/>
    <w:rsid w:val="002860F4"/>
    <w:rsid w:val="002C4700"/>
    <w:rsid w:val="002C57B4"/>
    <w:rsid w:val="002D6AE8"/>
    <w:rsid w:val="002D7105"/>
    <w:rsid w:val="002E0454"/>
    <w:rsid w:val="002E48C1"/>
    <w:rsid w:val="002F2F37"/>
    <w:rsid w:val="002F4EF9"/>
    <w:rsid w:val="003042F9"/>
    <w:rsid w:val="003201DA"/>
    <w:rsid w:val="0035001C"/>
    <w:rsid w:val="00365ABC"/>
    <w:rsid w:val="00385A78"/>
    <w:rsid w:val="003B2BFC"/>
    <w:rsid w:val="003C6909"/>
    <w:rsid w:val="00416E2D"/>
    <w:rsid w:val="0042047F"/>
    <w:rsid w:val="00430E0B"/>
    <w:rsid w:val="00434437"/>
    <w:rsid w:val="0043466A"/>
    <w:rsid w:val="00443537"/>
    <w:rsid w:val="0045554F"/>
    <w:rsid w:val="004632AA"/>
    <w:rsid w:val="00473162"/>
    <w:rsid w:val="004A42B6"/>
    <w:rsid w:val="004B1B79"/>
    <w:rsid w:val="004C74F2"/>
    <w:rsid w:val="004D6EEC"/>
    <w:rsid w:val="004E0BB7"/>
    <w:rsid w:val="0050565A"/>
    <w:rsid w:val="00505BB8"/>
    <w:rsid w:val="00532F70"/>
    <w:rsid w:val="005409C0"/>
    <w:rsid w:val="00561A36"/>
    <w:rsid w:val="00566D1E"/>
    <w:rsid w:val="0058499D"/>
    <w:rsid w:val="00585FBB"/>
    <w:rsid w:val="005B4BA1"/>
    <w:rsid w:val="005C48BF"/>
    <w:rsid w:val="005E736E"/>
    <w:rsid w:val="00637D83"/>
    <w:rsid w:val="00656F9A"/>
    <w:rsid w:val="006722BA"/>
    <w:rsid w:val="0068109C"/>
    <w:rsid w:val="006A0C7D"/>
    <w:rsid w:val="006B1D95"/>
    <w:rsid w:val="006C0C50"/>
    <w:rsid w:val="006C455A"/>
    <w:rsid w:val="006D4E4E"/>
    <w:rsid w:val="006E506E"/>
    <w:rsid w:val="006F0E3D"/>
    <w:rsid w:val="006F5B56"/>
    <w:rsid w:val="00754249"/>
    <w:rsid w:val="00757FF1"/>
    <w:rsid w:val="00784907"/>
    <w:rsid w:val="007B2C4C"/>
    <w:rsid w:val="007C2B65"/>
    <w:rsid w:val="007D71E5"/>
    <w:rsid w:val="007D777D"/>
    <w:rsid w:val="007E6BD9"/>
    <w:rsid w:val="007F7580"/>
    <w:rsid w:val="008001F2"/>
    <w:rsid w:val="00801AD8"/>
    <w:rsid w:val="00887D77"/>
    <w:rsid w:val="00891CC7"/>
    <w:rsid w:val="008A527F"/>
    <w:rsid w:val="008B1759"/>
    <w:rsid w:val="008B46D7"/>
    <w:rsid w:val="008B57AB"/>
    <w:rsid w:val="008D4B8F"/>
    <w:rsid w:val="008E23EB"/>
    <w:rsid w:val="008E7942"/>
    <w:rsid w:val="00914B4C"/>
    <w:rsid w:val="00953691"/>
    <w:rsid w:val="00963296"/>
    <w:rsid w:val="00967F92"/>
    <w:rsid w:val="00980A83"/>
    <w:rsid w:val="009A3AE9"/>
    <w:rsid w:val="009C797D"/>
    <w:rsid w:val="009E02F3"/>
    <w:rsid w:val="00A00C0D"/>
    <w:rsid w:val="00A20A1D"/>
    <w:rsid w:val="00A24004"/>
    <w:rsid w:val="00A35FD1"/>
    <w:rsid w:val="00A76A2A"/>
    <w:rsid w:val="00A85621"/>
    <w:rsid w:val="00A92271"/>
    <w:rsid w:val="00A968A9"/>
    <w:rsid w:val="00A9714D"/>
    <w:rsid w:val="00AC1725"/>
    <w:rsid w:val="00AD4926"/>
    <w:rsid w:val="00AD61AD"/>
    <w:rsid w:val="00AD7059"/>
    <w:rsid w:val="00AF6BA0"/>
    <w:rsid w:val="00B16B8E"/>
    <w:rsid w:val="00B26262"/>
    <w:rsid w:val="00B52C3A"/>
    <w:rsid w:val="00B52EF7"/>
    <w:rsid w:val="00B71CA9"/>
    <w:rsid w:val="00B766AA"/>
    <w:rsid w:val="00B80590"/>
    <w:rsid w:val="00B86BB6"/>
    <w:rsid w:val="00BB022D"/>
    <w:rsid w:val="00BB4625"/>
    <w:rsid w:val="00BE4F4A"/>
    <w:rsid w:val="00C3259A"/>
    <w:rsid w:val="00C35A5F"/>
    <w:rsid w:val="00C4003A"/>
    <w:rsid w:val="00C665FA"/>
    <w:rsid w:val="00C75A70"/>
    <w:rsid w:val="00C843B7"/>
    <w:rsid w:val="00C90955"/>
    <w:rsid w:val="00CC14CF"/>
    <w:rsid w:val="00CD6C16"/>
    <w:rsid w:val="00CE01CD"/>
    <w:rsid w:val="00CE39F6"/>
    <w:rsid w:val="00D01BF2"/>
    <w:rsid w:val="00D85FFA"/>
    <w:rsid w:val="00D930E3"/>
    <w:rsid w:val="00DA3572"/>
    <w:rsid w:val="00DB6261"/>
    <w:rsid w:val="00DB6E9E"/>
    <w:rsid w:val="00DF3097"/>
    <w:rsid w:val="00E01626"/>
    <w:rsid w:val="00E048A5"/>
    <w:rsid w:val="00E340C4"/>
    <w:rsid w:val="00E51677"/>
    <w:rsid w:val="00E51B67"/>
    <w:rsid w:val="00E77C4C"/>
    <w:rsid w:val="00E939D7"/>
    <w:rsid w:val="00EA04C7"/>
    <w:rsid w:val="00EA5702"/>
    <w:rsid w:val="00EC45FE"/>
    <w:rsid w:val="00EF7E05"/>
    <w:rsid w:val="00F072F5"/>
    <w:rsid w:val="00F233FA"/>
    <w:rsid w:val="00F32A0F"/>
    <w:rsid w:val="00F5125F"/>
    <w:rsid w:val="00F525E9"/>
    <w:rsid w:val="00F5701E"/>
    <w:rsid w:val="00F61E43"/>
    <w:rsid w:val="00F8553A"/>
    <w:rsid w:val="00FA36C4"/>
    <w:rsid w:val="00FB365C"/>
    <w:rsid w:val="00FC01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0E7F8"/>
  <w15:docId w15:val="{E7A88BA1-8006-4573-A83B-F756F53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E4E"/>
    <w:rPr>
      <w:rFonts w:ascii="Calibri" w:eastAsia="Calibri" w:hAnsi="Calibri"/>
      <w:sz w:val="22"/>
      <w:szCs w:val="22"/>
      <w:lang w:eastAsia="en-US"/>
    </w:rPr>
  </w:style>
  <w:style w:type="paragraph" w:styleId="Heading1">
    <w:name w:val="heading 1"/>
    <w:basedOn w:val="Normal"/>
    <w:next w:val="Normal"/>
    <w:qFormat/>
    <w:rsid w:val="00A240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4E4E"/>
    <w:pPr>
      <w:keepNext/>
      <w:tabs>
        <w:tab w:val="left" w:pos="0"/>
      </w:tabs>
      <w:ind w:right="114" w:firstLine="180"/>
      <w:jc w:val="both"/>
      <w:outlineLvl w:val="1"/>
    </w:pPr>
    <w:rPr>
      <w:rFonts w:ascii="Arial Narrow" w:eastAsia="Times New Roman" w:hAnsi="Arial Narrow" w:cs="Arial"/>
      <w:b/>
      <w:bCs/>
      <w:i/>
      <w:iCs/>
    </w:rPr>
  </w:style>
  <w:style w:type="paragraph" w:styleId="Heading4">
    <w:name w:val="heading 4"/>
    <w:basedOn w:val="Normal"/>
    <w:next w:val="Normal"/>
    <w:qFormat/>
    <w:rsid w:val="007D777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14274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D4E4E"/>
    <w:pPr>
      <w:tabs>
        <w:tab w:val="left" w:pos="540"/>
      </w:tabs>
      <w:jc w:val="both"/>
    </w:pPr>
    <w:rPr>
      <w:rFonts w:ascii="Arial Narrow" w:eastAsia="Times New Roman" w:hAnsi="Arial Narrow"/>
      <w:lang w:val="en-GB"/>
    </w:rPr>
  </w:style>
  <w:style w:type="character" w:customStyle="1" w:styleId="BodyText2Char">
    <w:name w:val="Body Text 2 Char"/>
    <w:link w:val="BodyText2"/>
    <w:rsid w:val="006D4E4E"/>
    <w:rPr>
      <w:rFonts w:ascii="Arial Narrow" w:hAnsi="Arial Narrow"/>
      <w:sz w:val="22"/>
      <w:szCs w:val="22"/>
      <w:lang w:val="en-GB" w:eastAsia="en-US" w:bidi="ar-SA"/>
    </w:rPr>
  </w:style>
  <w:style w:type="paragraph" w:styleId="NoSpacing">
    <w:name w:val="No Spacing"/>
    <w:link w:val="NoSpacingChar"/>
    <w:qFormat/>
    <w:rsid w:val="006D4E4E"/>
    <w:rPr>
      <w:rFonts w:ascii="Calibri" w:eastAsia="MS Mincho" w:hAnsi="Calibri" w:cs="Arial"/>
      <w:sz w:val="22"/>
      <w:szCs w:val="22"/>
      <w:lang w:val="en-US" w:eastAsia="ja-JP"/>
    </w:rPr>
  </w:style>
  <w:style w:type="character" w:customStyle="1" w:styleId="NoSpacingChar">
    <w:name w:val="No Spacing Char"/>
    <w:link w:val="NoSpacing"/>
    <w:rsid w:val="006D4E4E"/>
    <w:rPr>
      <w:rFonts w:ascii="Calibri" w:eastAsia="MS Mincho" w:hAnsi="Calibri" w:cs="Arial"/>
      <w:sz w:val="22"/>
      <w:szCs w:val="22"/>
      <w:lang w:val="en-US" w:eastAsia="ja-JP" w:bidi="ar-SA"/>
    </w:rPr>
  </w:style>
  <w:style w:type="character" w:customStyle="1" w:styleId="Heading2Char">
    <w:name w:val="Heading 2 Char"/>
    <w:link w:val="Heading2"/>
    <w:rsid w:val="006D4E4E"/>
    <w:rPr>
      <w:rFonts w:ascii="Arial Narrow" w:hAnsi="Arial Narrow" w:cs="Arial"/>
      <w:b/>
      <w:bCs/>
      <w:i/>
      <w:iCs/>
      <w:sz w:val="22"/>
      <w:szCs w:val="22"/>
      <w:lang w:val="bg-BG" w:eastAsia="en-US" w:bidi="ar-SA"/>
    </w:rPr>
  </w:style>
  <w:style w:type="paragraph" w:styleId="Title">
    <w:name w:val="Title"/>
    <w:basedOn w:val="Normal"/>
    <w:link w:val="TitleChar"/>
    <w:qFormat/>
    <w:rsid w:val="006D4E4E"/>
    <w:pPr>
      <w:autoSpaceDE w:val="0"/>
      <w:autoSpaceDN w:val="0"/>
      <w:adjustRightInd w:val="0"/>
      <w:jc w:val="center"/>
    </w:pPr>
    <w:rPr>
      <w:rFonts w:ascii="Arial" w:eastAsia="Times New Roman" w:hAnsi="Arial" w:cs="Arial"/>
      <w:b/>
      <w:bCs/>
      <w:sz w:val="20"/>
      <w:szCs w:val="24"/>
      <w:lang w:val="en-US"/>
    </w:rPr>
  </w:style>
  <w:style w:type="character" w:customStyle="1" w:styleId="TitleChar">
    <w:name w:val="Title Char"/>
    <w:link w:val="Title"/>
    <w:rsid w:val="006D4E4E"/>
    <w:rPr>
      <w:rFonts w:ascii="Arial" w:hAnsi="Arial" w:cs="Arial"/>
      <w:b/>
      <w:bCs/>
      <w:szCs w:val="24"/>
      <w:lang w:val="en-US" w:eastAsia="en-US" w:bidi="ar-SA"/>
    </w:rPr>
  </w:style>
  <w:style w:type="paragraph" w:styleId="BodyText">
    <w:name w:val="Body Text"/>
    <w:basedOn w:val="Normal"/>
    <w:rsid w:val="00217195"/>
    <w:pPr>
      <w:spacing w:after="120"/>
    </w:pPr>
    <w:rPr>
      <w:rFonts w:ascii="Times New Roman" w:eastAsia="Times New Roman" w:hAnsi="Times New Roman"/>
      <w:sz w:val="24"/>
      <w:szCs w:val="24"/>
      <w:lang w:eastAsia="bg-BG"/>
    </w:rPr>
  </w:style>
  <w:style w:type="paragraph" w:styleId="BodyTextIndent">
    <w:name w:val="Body Text Indent"/>
    <w:basedOn w:val="Normal"/>
    <w:link w:val="BodyTextIndentChar"/>
    <w:unhideWhenUsed/>
    <w:rsid w:val="00217195"/>
    <w:pPr>
      <w:spacing w:after="120"/>
      <w:ind w:left="283"/>
    </w:pPr>
  </w:style>
  <w:style w:type="character" w:customStyle="1" w:styleId="BodyTextIndentChar">
    <w:name w:val="Body Text Indent Char"/>
    <w:link w:val="BodyTextIndent"/>
    <w:rsid w:val="00217195"/>
    <w:rPr>
      <w:rFonts w:ascii="Calibri" w:eastAsia="Calibri" w:hAnsi="Calibri"/>
      <w:sz w:val="22"/>
      <w:szCs w:val="22"/>
      <w:lang w:val="bg-BG" w:eastAsia="en-US" w:bidi="ar-SA"/>
    </w:rPr>
  </w:style>
  <w:style w:type="paragraph" w:styleId="NormalWeb">
    <w:name w:val="Normal (Web)"/>
    <w:basedOn w:val="Normal"/>
    <w:rsid w:val="00217195"/>
    <w:pPr>
      <w:spacing w:before="100" w:beforeAutospacing="1" w:after="100" w:afterAutospacing="1"/>
      <w:jc w:val="both"/>
    </w:pPr>
    <w:rPr>
      <w:rFonts w:ascii="Arial" w:eastAsia="Times New Roman" w:hAnsi="Arial" w:cs="Arial"/>
      <w:color w:val="404040"/>
      <w:sz w:val="17"/>
      <w:szCs w:val="17"/>
      <w:lang w:eastAsia="bg-BG"/>
    </w:rPr>
  </w:style>
  <w:style w:type="character" w:customStyle="1" w:styleId="Heading7Char">
    <w:name w:val="Heading 7 Char"/>
    <w:link w:val="Heading7"/>
    <w:rsid w:val="00142747"/>
    <w:rPr>
      <w:rFonts w:ascii="Calibri" w:hAnsi="Calibri"/>
      <w:sz w:val="24"/>
      <w:szCs w:val="24"/>
      <w:lang w:val="bg-BG" w:eastAsia="en-US" w:bidi="ar-SA"/>
    </w:rPr>
  </w:style>
  <w:style w:type="paragraph" w:styleId="Header">
    <w:name w:val="header"/>
    <w:basedOn w:val="Normal"/>
    <w:link w:val="HeaderChar"/>
    <w:unhideWhenUsed/>
    <w:rsid w:val="00F5125F"/>
    <w:pPr>
      <w:tabs>
        <w:tab w:val="center" w:pos="4536"/>
        <w:tab w:val="right" w:pos="9072"/>
      </w:tabs>
    </w:pPr>
  </w:style>
  <w:style w:type="character" w:customStyle="1" w:styleId="HeaderChar">
    <w:name w:val="Header Char"/>
    <w:link w:val="Header"/>
    <w:rsid w:val="00F5125F"/>
    <w:rPr>
      <w:rFonts w:ascii="Calibri" w:eastAsia="Calibri" w:hAnsi="Calibri"/>
      <w:sz w:val="22"/>
      <w:szCs w:val="22"/>
      <w:lang w:val="bg-BG" w:eastAsia="en-US" w:bidi="ar-SA"/>
    </w:rPr>
  </w:style>
  <w:style w:type="paragraph" w:customStyle="1" w:styleId="-">
    <w:name w:val="Таблица - съдържание"/>
    <w:basedOn w:val="Normal"/>
    <w:rsid w:val="00F5125F"/>
    <w:pPr>
      <w:suppressLineNumbers/>
      <w:suppressAutoHyphens/>
    </w:pPr>
    <w:rPr>
      <w:rFonts w:ascii="Times New Roman" w:eastAsia="Times New Roman" w:hAnsi="Times New Roman"/>
      <w:sz w:val="24"/>
      <w:szCs w:val="24"/>
      <w:lang w:val="en-GB" w:eastAsia="ar-SA"/>
    </w:rPr>
  </w:style>
  <w:style w:type="paragraph" w:customStyle="1" w:styleId="CharChar">
    <w:name w:val="Char Char"/>
    <w:basedOn w:val="Normal"/>
    <w:rsid w:val="00A24004"/>
    <w:pPr>
      <w:tabs>
        <w:tab w:val="left" w:pos="709"/>
      </w:tabs>
    </w:pPr>
    <w:rPr>
      <w:rFonts w:ascii="Tahoma" w:eastAsia="Times New Roman" w:hAnsi="Tahoma"/>
      <w:sz w:val="24"/>
      <w:szCs w:val="24"/>
      <w:lang w:val="pl-PL" w:eastAsia="pl-PL"/>
    </w:rPr>
  </w:style>
  <w:style w:type="paragraph" w:styleId="ListParagraph">
    <w:name w:val="List Paragraph"/>
    <w:basedOn w:val="Normal"/>
    <w:uiPriority w:val="1"/>
    <w:qFormat/>
    <w:rsid w:val="004E0BB7"/>
    <w:pPr>
      <w:ind w:left="720"/>
      <w:contextualSpacing/>
    </w:pPr>
  </w:style>
  <w:style w:type="paragraph" w:customStyle="1" w:styleId="TableParagraph">
    <w:name w:val="Table Paragraph"/>
    <w:basedOn w:val="Normal"/>
    <w:uiPriority w:val="1"/>
    <w:qFormat/>
    <w:rsid w:val="00C4003A"/>
    <w:pPr>
      <w:widowControl w:val="0"/>
      <w:autoSpaceDE w:val="0"/>
      <w:autoSpaceDN w:val="0"/>
      <w:ind w:left="244" w:right="86"/>
      <w:jc w:val="center"/>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64">
      <w:bodyDiv w:val="1"/>
      <w:marLeft w:val="0"/>
      <w:marRight w:val="0"/>
      <w:marTop w:val="0"/>
      <w:marBottom w:val="0"/>
      <w:divBdr>
        <w:top w:val="none" w:sz="0" w:space="0" w:color="auto"/>
        <w:left w:val="none" w:sz="0" w:space="0" w:color="auto"/>
        <w:bottom w:val="none" w:sz="0" w:space="0" w:color="auto"/>
        <w:right w:val="none" w:sz="0" w:space="0" w:color="auto"/>
      </w:divBdr>
    </w:div>
    <w:div w:id="32391587">
      <w:bodyDiv w:val="1"/>
      <w:marLeft w:val="0"/>
      <w:marRight w:val="0"/>
      <w:marTop w:val="0"/>
      <w:marBottom w:val="0"/>
      <w:divBdr>
        <w:top w:val="none" w:sz="0" w:space="0" w:color="auto"/>
        <w:left w:val="none" w:sz="0" w:space="0" w:color="auto"/>
        <w:bottom w:val="none" w:sz="0" w:space="0" w:color="auto"/>
        <w:right w:val="none" w:sz="0" w:space="0" w:color="auto"/>
      </w:divBdr>
    </w:div>
    <w:div w:id="78603307">
      <w:bodyDiv w:val="1"/>
      <w:marLeft w:val="0"/>
      <w:marRight w:val="0"/>
      <w:marTop w:val="0"/>
      <w:marBottom w:val="0"/>
      <w:divBdr>
        <w:top w:val="none" w:sz="0" w:space="0" w:color="auto"/>
        <w:left w:val="none" w:sz="0" w:space="0" w:color="auto"/>
        <w:bottom w:val="none" w:sz="0" w:space="0" w:color="auto"/>
        <w:right w:val="none" w:sz="0" w:space="0" w:color="auto"/>
      </w:divBdr>
    </w:div>
    <w:div w:id="87622734">
      <w:bodyDiv w:val="1"/>
      <w:marLeft w:val="0"/>
      <w:marRight w:val="0"/>
      <w:marTop w:val="0"/>
      <w:marBottom w:val="0"/>
      <w:divBdr>
        <w:top w:val="none" w:sz="0" w:space="0" w:color="auto"/>
        <w:left w:val="none" w:sz="0" w:space="0" w:color="auto"/>
        <w:bottom w:val="none" w:sz="0" w:space="0" w:color="auto"/>
        <w:right w:val="none" w:sz="0" w:space="0" w:color="auto"/>
      </w:divBdr>
    </w:div>
    <w:div w:id="204832299">
      <w:bodyDiv w:val="1"/>
      <w:marLeft w:val="0"/>
      <w:marRight w:val="0"/>
      <w:marTop w:val="0"/>
      <w:marBottom w:val="0"/>
      <w:divBdr>
        <w:top w:val="none" w:sz="0" w:space="0" w:color="auto"/>
        <w:left w:val="none" w:sz="0" w:space="0" w:color="auto"/>
        <w:bottom w:val="none" w:sz="0" w:space="0" w:color="auto"/>
        <w:right w:val="none" w:sz="0" w:space="0" w:color="auto"/>
      </w:divBdr>
    </w:div>
    <w:div w:id="333842279">
      <w:bodyDiv w:val="1"/>
      <w:marLeft w:val="0"/>
      <w:marRight w:val="0"/>
      <w:marTop w:val="0"/>
      <w:marBottom w:val="0"/>
      <w:divBdr>
        <w:top w:val="none" w:sz="0" w:space="0" w:color="auto"/>
        <w:left w:val="none" w:sz="0" w:space="0" w:color="auto"/>
        <w:bottom w:val="none" w:sz="0" w:space="0" w:color="auto"/>
        <w:right w:val="none" w:sz="0" w:space="0" w:color="auto"/>
      </w:divBdr>
    </w:div>
    <w:div w:id="411776811">
      <w:bodyDiv w:val="1"/>
      <w:marLeft w:val="0"/>
      <w:marRight w:val="0"/>
      <w:marTop w:val="0"/>
      <w:marBottom w:val="0"/>
      <w:divBdr>
        <w:top w:val="none" w:sz="0" w:space="0" w:color="auto"/>
        <w:left w:val="none" w:sz="0" w:space="0" w:color="auto"/>
        <w:bottom w:val="none" w:sz="0" w:space="0" w:color="auto"/>
        <w:right w:val="none" w:sz="0" w:space="0" w:color="auto"/>
      </w:divBdr>
    </w:div>
    <w:div w:id="492913946">
      <w:bodyDiv w:val="1"/>
      <w:marLeft w:val="0"/>
      <w:marRight w:val="0"/>
      <w:marTop w:val="0"/>
      <w:marBottom w:val="0"/>
      <w:divBdr>
        <w:top w:val="none" w:sz="0" w:space="0" w:color="auto"/>
        <w:left w:val="none" w:sz="0" w:space="0" w:color="auto"/>
        <w:bottom w:val="none" w:sz="0" w:space="0" w:color="auto"/>
        <w:right w:val="none" w:sz="0" w:space="0" w:color="auto"/>
      </w:divBdr>
    </w:div>
    <w:div w:id="519784051">
      <w:bodyDiv w:val="1"/>
      <w:marLeft w:val="0"/>
      <w:marRight w:val="0"/>
      <w:marTop w:val="0"/>
      <w:marBottom w:val="0"/>
      <w:divBdr>
        <w:top w:val="none" w:sz="0" w:space="0" w:color="auto"/>
        <w:left w:val="none" w:sz="0" w:space="0" w:color="auto"/>
        <w:bottom w:val="none" w:sz="0" w:space="0" w:color="auto"/>
        <w:right w:val="none" w:sz="0" w:space="0" w:color="auto"/>
      </w:divBdr>
    </w:div>
    <w:div w:id="610934025">
      <w:bodyDiv w:val="1"/>
      <w:marLeft w:val="0"/>
      <w:marRight w:val="0"/>
      <w:marTop w:val="0"/>
      <w:marBottom w:val="0"/>
      <w:divBdr>
        <w:top w:val="none" w:sz="0" w:space="0" w:color="auto"/>
        <w:left w:val="none" w:sz="0" w:space="0" w:color="auto"/>
        <w:bottom w:val="none" w:sz="0" w:space="0" w:color="auto"/>
        <w:right w:val="none" w:sz="0" w:space="0" w:color="auto"/>
      </w:divBdr>
    </w:div>
    <w:div w:id="650334366">
      <w:bodyDiv w:val="1"/>
      <w:marLeft w:val="0"/>
      <w:marRight w:val="0"/>
      <w:marTop w:val="0"/>
      <w:marBottom w:val="0"/>
      <w:divBdr>
        <w:top w:val="none" w:sz="0" w:space="0" w:color="auto"/>
        <w:left w:val="none" w:sz="0" w:space="0" w:color="auto"/>
        <w:bottom w:val="none" w:sz="0" w:space="0" w:color="auto"/>
        <w:right w:val="none" w:sz="0" w:space="0" w:color="auto"/>
      </w:divBdr>
    </w:div>
    <w:div w:id="850527158">
      <w:bodyDiv w:val="1"/>
      <w:marLeft w:val="0"/>
      <w:marRight w:val="0"/>
      <w:marTop w:val="0"/>
      <w:marBottom w:val="0"/>
      <w:divBdr>
        <w:top w:val="none" w:sz="0" w:space="0" w:color="auto"/>
        <w:left w:val="none" w:sz="0" w:space="0" w:color="auto"/>
        <w:bottom w:val="none" w:sz="0" w:space="0" w:color="auto"/>
        <w:right w:val="none" w:sz="0" w:space="0" w:color="auto"/>
      </w:divBdr>
    </w:div>
    <w:div w:id="883754921">
      <w:bodyDiv w:val="1"/>
      <w:marLeft w:val="0"/>
      <w:marRight w:val="0"/>
      <w:marTop w:val="0"/>
      <w:marBottom w:val="0"/>
      <w:divBdr>
        <w:top w:val="none" w:sz="0" w:space="0" w:color="auto"/>
        <w:left w:val="none" w:sz="0" w:space="0" w:color="auto"/>
        <w:bottom w:val="none" w:sz="0" w:space="0" w:color="auto"/>
        <w:right w:val="none" w:sz="0" w:space="0" w:color="auto"/>
      </w:divBdr>
    </w:div>
    <w:div w:id="1089426485">
      <w:bodyDiv w:val="1"/>
      <w:marLeft w:val="0"/>
      <w:marRight w:val="0"/>
      <w:marTop w:val="0"/>
      <w:marBottom w:val="0"/>
      <w:divBdr>
        <w:top w:val="none" w:sz="0" w:space="0" w:color="auto"/>
        <w:left w:val="none" w:sz="0" w:space="0" w:color="auto"/>
        <w:bottom w:val="none" w:sz="0" w:space="0" w:color="auto"/>
        <w:right w:val="none" w:sz="0" w:space="0" w:color="auto"/>
      </w:divBdr>
    </w:div>
    <w:div w:id="1162425603">
      <w:bodyDiv w:val="1"/>
      <w:marLeft w:val="0"/>
      <w:marRight w:val="0"/>
      <w:marTop w:val="0"/>
      <w:marBottom w:val="0"/>
      <w:divBdr>
        <w:top w:val="none" w:sz="0" w:space="0" w:color="auto"/>
        <w:left w:val="none" w:sz="0" w:space="0" w:color="auto"/>
        <w:bottom w:val="none" w:sz="0" w:space="0" w:color="auto"/>
        <w:right w:val="none" w:sz="0" w:space="0" w:color="auto"/>
      </w:divBdr>
    </w:div>
    <w:div w:id="1181968829">
      <w:bodyDiv w:val="1"/>
      <w:marLeft w:val="0"/>
      <w:marRight w:val="0"/>
      <w:marTop w:val="0"/>
      <w:marBottom w:val="0"/>
      <w:divBdr>
        <w:top w:val="none" w:sz="0" w:space="0" w:color="auto"/>
        <w:left w:val="none" w:sz="0" w:space="0" w:color="auto"/>
        <w:bottom w:val="none" w:sz="0" w:space="0" w:color="auto"/>
        <w:right w:val="none" w:sz="0" w:space="0" w:color="auto"/>
      </w:divBdr>
    </w:div>
    <w:div w:id="1210655133">
      <w:bodyDiv w:val="1"/>
      <w:marLeft w:val="0"/>
      <w:marRight w:val="0"/>
      <w:marTop w:val="0"/>
      <w:marBottom w:val="0"/>
      <w:divBdr>
        <w:top w:val="none" w:sz="0" w:space="0" w:color="auto"/>
        <w:left w:val="none" w:sz="0" w:space="0" w:color="auto"/>
        <w:bottom w:val="none" w:sz="0" w:space="0" w:color="auto"/>
        <w:right w:val="none" w:sz="0" w:space="0" w:color="auto"/>
      </w:divBdr>
    </w:div>
    <w:div w:id="1349327078">
      <w:bodyDiv w:val="1"/>
      <w:marLeft w:val="0"/>
      <w:marRight w:val="0"/>
      <w:marTop w:val="0"/>
      <w:marBottom w:val="0"/>
      <w:divBdr>
        <w:top w:val="none" w:sz="0" w:space="0" w:color="auto"/>
        <w:left w:val="none" w:sz="0" w:space="0" w:color="auto"/>
        <w:bottom w:val="none" w:sz="0" w:space="0" w:color="auto"/>
        <w:right w:val="none" w:sz="0" w:space="0" w:color="auto"/>
      </w:divBdr>
    </w:div>
    <w:div w:id="1350259678">
      <w:bodyDiv w:val="1"/>
      <w:marLeft w:val="0"/>
      <w:marRight w:val="0"/>
      <w:marTop w:val="0"/>
      <w:marBottom w:val="0"/>
      <w:divBdr>
        <w:top w:val="none" w:sz="0" w:space="0" w:color="auto"/>
        <w:left w:val="none" w:sz="0" w:space="0" w:color="auto"/>
        <w:bottom w:val="none" w:sz="0" w:space="0" w:color="auto"/>
        <w:right w:val="none" w:sz="0" w:space="0" w:color="auto"/>
      </w:divBdr>
    </w:div>
    <w:div w:id="1402405265">
      <w:bodyDiv w:val="1"/>
      <w:marLeft w:val="0"/>
      <w:marRight w:val="0"/>
      <w:marTop w:val="0"/>
      <w:marBottom w:val="0"/>
      <w:divBdr>
        <w:top w:val="none" w:sz="0" w:space="0" w:color="auto"/>
        <w:left w:val="none" w:sz="0" w:space="0" w:color="auto"/>
        <w:bottom w:val="none" w:sz="0" w:space="0" w:color="auto"/>
        <w:right w:val="none" w:sz="0" w:space="0" w:color="auto"/>
      </w:divBdr>
    </w:div>
    <w:div w:id="1409769802">
      <w:bodyDiv w:val="1"/>
      <w:marLeft w:val="0"/>
      <w:marRight w:val="0"/>
      <w:marTop w:val="0"/>
      <w:marBottom w:val="0"/>
      <w:divBdr>
        <w:top w:val="none" w:sz="0" w:space="0" w:color="auto"/>
        <w:left w:val="none" w:sz="0" w:space="0" w:color="auto"/>
        <w:bottom w:val="none" w:sz="0" w:space="0" w:color="auto"/>
        <w:right w:val="none" w:sz="0" w:space="0" w:color="auto"/>
      </w:divBdr>
    </w:div>
    <w:div w:id="1419324928">
      <w:bodyDiv w:val="1"/>
      <w:marLeft w:val="0"/>
      <w:marRight w:val="0"/>
      <w:marTop w:val="0"/>
      <w:marBottom w:val="0"/>
      <w:divBdr>
        <w:top w:val="none" w:sz="0" w:space="0" w:color="auto"/>
        <w:left w:val="none" w:sz="0" w:space="0" w:color="auto"/>
        <w:bottom w:val="none" w:sz="0" w:space="0" w:color="auto"/>
        <w:right w:val="none" w:sz="0" w:space="0" w:color="auto"/>
      </w:divBdr>
    </w:div>
    <w:div w:id="1425880022">
      <w:bodyDiv w:val="1"/>
      <w:marLeft w:val="0"/>
      <w:marRight w:val="0"/>
      <w:marTop w:val="0"/>
      <w:marBottom w:val="0"/>
      <w:divBdr>
        <w:top w:val="none" w:sz="0" w:space="0" w:color="auto"/>
        <w:left w:val="none" w:sz="0" w:space="0" w:color="auto"/>
        <w:bottom w:val="none" w:sz="0" w:space="0" w:color="auto"/>
        <w:right w:val="none" w:sz="0" w:space="0" w:color="auto"/>
      </w:divBdr>
    </w:div>
    <w:div w:id="1431467095">
      <w:bodyDiv w:val="1"/>
      <w:marLeft w:val="0"/>
      <w:marRight w:val="0"/>
      <w:marTop w:val="0"/>
      <w:marBottom w:val="0"/>
      <w:divBdr>
        <w:top w:val="none" w:sz="0" w:space="0" w:color="auto"/>
        <w:left w:val="none" w:sz="0" w:space="0" w:color="auto"/>
        <w:bottom w:val="none" w:sz="0" w:space="0" w:color="auto"/>
        <w:right w:val="none" w:sz="0" w:space="0" w:color="auto"/>
      </w:divBdr>
    </w:div>
    <w:div w:id="1437292550">
      <w:bodyDiv w:val="1"/>
      <w:marLeft w:val="0"/>
      <w:marRight w:val="0"/>
      <w:marTop w:val="0"/>
      <w:marBottom w:val="0"/>
      <w:divBdr>
        <w:top w:val="none" w:sz="0" w:space="0" w:color="auto"/>
        <w:left w:val="none" w:sz="0" w:space="0" w:color="auto"/>
        <w:bottom w:val="none" w:sz="0" w:space="0" w:color="auto"/>
        <w:right w:val="none" w:sz="0" w:space="0" w:color="auto"/>
      </w:divBdr>
    </w:div>
    <w:div w:id="1444300367">
      <w:bodyDiv w:val="1"/>
      <w:marLeft w:val="0"/>
      <w:marRight w:val="0"/>
      <w:marTop w:val="0"/>
      <w:marBottom w:val="0"/>
      <w:divBdr>
        <w:top w:val="none" w:sz="0" w:space="0" w:color="auto"/>
        <w:left w:val="none" w:sz="0" w:space="0" w:color="auto"/>
        <w:bottom w:val="none" w:sz="0" w:space="0" w:color="auto"/>
        <w:right w:val="none" w:sz="0" w:space="0" w:color="auto"/>
      </w:divBdr>
    </w:div>
    <w:div w:id="1474712900">
      <w:bodyDiv w:val="1"/>
      <w:marLeft w:val="0"/>
      <w:marRight w:val="0"/>
      <w:marTop w:val="0"/>
      <w:marBottom w:val="0"/>
      <w:divBdr>
        <w:top w:val="none" w:sz="0" w:space="0" w:color="auto"/>
        <w:left w:val="none" w:sz="0" w:space="0" w:color="auto"/>
        <w:bottom w:val="none" w:sz="0" w:space="0" w:color="auto"/>
        <w:right w:val="none" w:sz="0" w:space="0" w:color="auto"/>
      </w:divBdr>
    </w:div>
    <w:div w:id="1565792249">
      <w:bodyDiv w:val="1"/>
      <w:marLeft w:val="0"/>
      <w:marRight w:val="0"/>
      <w:marTop w:val="0"/>
      <w:marBottom w:val="0"/>
      <w:divBdr>
        <w:top w:val="none" w:sz="0" w:space="0" w:color="auto"/>
        <w:left w:val="none" w:sz="0" w:space="0" w:color="auto"/>
        <w:bottom w:val="none" w:sz="0" w:space="0" w:color="auto"/>
        <w:right w:val="none" w:sz="0" w:space="0" w:color="auto"/>
      </w:divBdr>
    </w:div>
    <w:div w:id="1634022280">
      <w:bodyDiv w:val="1"/>
      <w:marLeft w:val="0"/>
      <w:marRight w:val="0"/>
      <w:marTop w:val="0"/>
      <w:marBottom w:val="0"/>
      <w:divBdr>
        <w:top w:val="none" w:sz="0" w:space="0" w:color="auto"/>
        <w:left w:val="none" w:sz="0" w:space="0" w:color="auto"/>
        <w:bottom w:val="none" w:sz="0" w:space="0" w:color="auto"/>
        <w:right w:val="none" w:sz="0" w:space="0" w:color="auto"/>
      </w:divBdr>
    </w:div>
    <w:div w:id="1757702351">
      <w:bodyDiv w:val="1"/>
      <w:marLeft w:val="0"/>
      <w:marRight w:val="0"/>
      <w:marTop w:val="0"/>
      <w:marBottom w:val="0"/>
      <w:divBdr>
        <w:top w:val="none" w:sz="0" w:space="0" w:color="auto"/>
        <w:left w:val="none" w:sz="0" w:space="0" w:color="auto"/>
        <w:bottom w:val="none" w:sz="0" w:space="0" w:color="auto"/>
        <w:right w:val="none" w:sz="0" w:space="0" w:color="auto"/>
      </w:divBdr>
    </w:div>
    <w:div w:id="1779446786">
      <w:bodyDiv w:val="1"/>
      <w:marLeft w:val="0"/>
      <w:marRight w:val="0"/>
      <w:marTop w:val="0"/>
      <w:marBottom w:val="0"/>
      <w:divBdr>
        <w:top w:val="none" w:sz="0" w:space="0" w:color="auto"/>
        <w:left w:val="none" w:sz="0" w:space="0" w:color="auto"/>
        <w:bottom w:val="none" w:sz="0" w:space="0" w:color="auto"/>
        <w:right w:val="none" w:sz="0" w:space="0" w:color="auto"/>
      </w:divBdr>
    </w:div>
    <w:div w:id="1840732135">
      <w:bodyDiv w:val="1"/>
      <w:marLeft w:val="0"/>
      <w:marRight w:val="0"/>
      <w:marTop w:val="0"/>
      <w:marBottom w:val="0"/>
      <w:divBdr>
        <w:top w:val="none" w:sz="0" w:space="0" w:color="auto"/>
        <w:left w:val="none" w:sz="0" w:space="0" w:color="auto"/>
        <w:bottom w:val="none" w:sz="0" w:space="0" w:color="auto"/>
        <w:right w:val="none" w:sz="0" w:space="0" w:color="auto"/>
      </w:divBdr>
    </w:div>
    <w:div w:id="2084641655">
      <w:bodyDiv w:val="1"/>
      <w:marLeft w:val="0"/>
      <w:marRight w:val="0"/>
      <w:marTop w:val="0"/>
      <w:marBottom w:val="0"/>
      <w:divBdr>
        <w:top w:val="none" w:sz="0" w:space="0" w:color="auto"/>
        <w:left w:val="none" w:sz="0" w:space="0" w:color="auto"/>
        <w:bottom w:val="none" w:sz="0" w:space="0" w:color="auto"/>
        <w:right w:val="none" w:sz="0" w:space="0" w:color="auto"/>
      </w:divBdr>
    </w:div>
    <w:div w:id="2138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17</Pages>
  <Words>6545</Words>
  <Characters>37310</Characters>
  <Application>Microsoft Office Word</Application>
  <DocSecurity>0</DocSecurity>
  <Lines>310</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Velin Deshev</cp:lastModifiedBy>
  <cp:revision>8</cp:revision>
  <cp:lastPrinted>2023-03-25T10:40:00Z</cp:lastPrinted>
  <dcterms:created xsi:type="dcterms:W3CDTF">2024-04-10T13:07:00Z</dcterms:created>
  <dcterms:modified xsi:type="dcterms:W3CDTF">2024-04-11T07:32:00Z</dcterms:modified>
</cp:coreProperties>
</file>